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5A_416/2018 vom 18. Mai 2018</w:t>
      </w:r>
    </w:p>
    <w:p>
      <w:r>
        <w:t>Bundesgericht, 2018-05-18, DE</w:t>
      </w:r>
    </w:p>
    <w:p>
      <w:r>
        <w:rPr>
          <w:b/>
        </w:rPr>
        <w:t xml:space="preserve">Quelle: </w:t>
      </w:r>
      <w:r>
        <w:t>https://mcp.opencaselaw.ch/entscheid/bger_5A_416_2018</w:t>
      </w:r>
    </w:p>
    <w:p>
      <w:r>
        <w:t>FR: TF 5A_416/2018 du 18 mai 2018</w:t>
      </w:r>
    </w:p>
    <w:p>
      <w:r>
        <w:t>IT: TF 5A_416/2018 del 18 maggio 2018</w:t>
      </w:r>
    </w:p>
    <w:p>
      <w:pPr>
        <w:pStyle w:val="Heading2"/>
      </w:pPr>
      <w:r>
        <w:t>Erwägungen</w:t>
      </w:r>
    </w:p>
    <w:p>
      <w:r>
        <w:rPr>
          <w:b/>
        </w:rPr>
        <w:t>E. 1</w:t>
      </w:r>
    </w:p>
    <w:p>
      <w:r>
        <w:t>Die Eingabe enthält auf über 100 Seiten Rundumschläge gegen Institutionen und Personen, ohne dass ein plausibler Zusammenhang mit der sich gemäss Handelsregisterauszug seit Jahren in Liquidation befindlichen Beschwerdeführerin hergestellt wird. Die Eingabe ist augenfällig querulatorisch und es ist darauf nicht einzutreten ( Art. 42 Abs. 7 BGG ).</w:t>
      </w:r>
    </w:p>
    <w:p>
      <w:r>
        <w:rPr>
          <w:b/>
        </w:rPr>
        <w:t>E. 2</w:t>
      </w:r>
    </w:p>
    <w:p>
      <w:r>
        <w:t>Bei offensichtlich unzulässigen Beschwerden urteilt der Präsident als Einzelrichter ( Art. 108 Abs. 1 lit. a BGG ).</w:t>
      </w:r>
    </w:p>
    <w:p>
      <w:r>
        <w:rPr>
          <w:b/>
        </w:rPr>
        <w:t>E. 3</w:t>
      </w:r>
    </w:p>
    <w:p>
      <w:r>
        <w:t>Die A.________ AG bzw. B.________ wird darauf aufmerksam gemacht, dass in Zukunft Eingaben ähnlicher Art nach Prüfung unbeantwortet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