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414/2014 vom 15. August 2014</w:t>
      </w:r>
    </w:p>
    <w:p>
      <w:r>
        <w:t>Bundesgericht, 2014-08-15, FR</w:t>
      </w:r>
    </w:p>
    <w:p>
      <w:r>
        <w:rPr>
          <w:b/>
        </w:rPr>
        <w:t xml:space="preserve">Quelle: </w:t>
      </w:r>
      <w:r>
        <w:t>https://mcp.opencaselaw.ch/entscheid/bger_5A_414_2014</w:t>
      </w:r>
    </w:p>
    <w:p>
      <w:r>
        <w:t>FR: TF 5A 414/2014 du 15 août 2014</w:t>
      </w:r>
    </w:p>
    <w:p>
      <w:r>
        <w:t>IT: TF 5A 414/2014 del 15 agosto 2014</w:t>
      </w:r>
    </w:p>
    <w:p>
      <w:pPr>
        <w:pStyle w:val="Heading2"/>
      </w:pPr>
      <w:r>
        <w:t>Regeste</w:t>
      </w:r>
    </w:p>
    <w:p>
      <w:r>
        <w:t>suspension du caractère exécutoire du jugement dont est recours (curatelle) | Droit de la famille</w:t>
      </w:r>
    </w:p>
    <w:p>
      <w:pPr>
        <w:pStyle w:val="Heading2"/>
      </w:pPr>
      <w:r>
        <w:t>Erwägungen</w:t>
      </w:r>
    </w:p>
    <w:p>
      <w:r>
        <w:rPr>
          <w:b/>
        </w:rPr>
        <w:t>E. 1</w:t>
      </w:r>
    </w:p>
    <w:p>
      <w:r>
        <w:t>D'emblée, il convient de relever que la décision attaquée ne comporte pas d'état de fait et que sa motivation, qui évoque la seule " l'absence d'urgence à l'entrée en force de la mesure ", ne se réfère à aucune disposition légale. Ne satisfaisant pas aux exigences posées à l' art. 112 al. 1 LTF , elle ne permet pas au Tribunal fédéral de contrôler son bien-fondé et, partant, devrait être annulée et renvoyée à la cour cantonale conformément à l' art. 112 al. 3 LTF (arrêt 5A_252/2014 du 10 juin 2014 consid. 1 et les références). Ce nonobstant, vu la nature de l'affaire, la Cour de céans a néanmoins complété d'office l'état de fait sur la base du dossier, en application de l' art. 105 al. 2 LTF .</w:t>
      </w:r>
    </w:p>
    <w:p>
      <w:r>
        <w:rPr>
          <w:b/>
        </w:rPr>
        <w:t>E. 2</w:t>
      </w:r>
    </w:p>
    <w:p>
      <w:r>
        <w:t>Le Tribunal fédéral examine d'office la recevabilité du recours qui lui est soumis ( ATF 140 IV 57 consid. 2 p. 59 et les arrêts cités).</w:t>
      </w:r>
    </w:p>
    <w:p>
      <w:r>
        <w:rPr>
          <w:b/>
        </w:rPr>
        <w:t>E. 2.1</w:t>
      </w:r>
    </w:p>
    <w:p>
      <w:r>
        <w:t>Déposé dans le délai légal ( art. 100 al. 1 LTF ), le recours est dirigé contre la restitution de l'effet suspensif ordonnée, dans le cadre d'une procédure de recours, par un tribunal supérieur ayant statué en unique instance cantonale ( art. 75 al. 1 et 2 LTF ; ATF 137 III 424 consid. 2.2 p. 427, 475 consid. 1 p. 477) sur une affaire non pécuniaire relevant de la protection de l'adulte (art. 72 al. 2 let. b ch. 6 LTF). Cette décision étant sujette au matière civile sous l'angle des dispositions précitées, le recours constitutionnel subsidiaire est irrecevable ( art. 113 LTF ).</w:t>
      </w:r>
    </w:p>
    <w:p>
      <w:r>
        <w:rPr>
          <w:b/>
        </w:rPr>
        <w:t>E. 2.2</w:t>
      </w:r>
    </w:p>
    <w:p>
      <w:r>
        <w:t>La qualité pour recourir au Tribunal fédéral dans le domaine de la protection de l'adulte se détermine exclusivement au regard de l' art. 76 al. 1 LTF (arrêt 5A_683/2013 du 11 décembre 2013 consid. 1.2), selon lequel la qualité pour former un recours en matière civile appartient à quiconque a pris part à la procédure devant l'autorité précédente ou a été privé de la possibilité de le faire (let. a ) et est particulièrement touché par la décision attaquée et a un intérêt digne de protection à son annulation ou sa modification (let. b ). Cet intérêt digne de protection consiste dans l'utilité pratique que l'admission du recours apporterait à son auteur, en lui évitant de subir un préjudice de nature économique, idéale, matérielle, ou autre, que la décision entreprise lui occasionnerait ( ATF 138 III 537 consid. 1.2.2 p. 539 et les arrêts cités). Il incombe au recourant d'alléguer les faits qu'il considère comme propres à fonder sa qualité pour recourir, lorsqu'ils ne ressortent pas à l'évidence de la décision attaquée ou du dossier ( ATF 138 III 537 consid. 1.2 p. 539 et la jurisprudence citée). En l'espèce, la curatrice expose agir pour le compte du recourant, en faveur duquel la mesure de curatelle de portée générale a été prise, à savoir d'une personne dépourvue de capacité de discernement, point qui n'est pas litigieux. La décision déférée mentionne tant le recourant que sa curatrice comme " participants à la procédure ", de sorte qu'il faut en déduire qu'ils ont participé à la procédure devant l'autorité précédente. S'agissant de l'intérêt digne de protection à l'annulation ou à la modification de l'acte attaqué, il y a lieu de considérer que l'admission du recours tend à éviter que la décision du TPAE ne soit dépourvue d'effets durant la procédure de recours, partant à répondre au besoin de protection du pupille pendant la durée de la procédure cantonale; le pupille a donc un intérêt manifeste à bénéficier d'une telle protection en l'état. Il s'ensuit que sa curatrice - qui bénéficie, au demeurant, d'une autorisation de plaider délivrée par le TPAE, dont elle entend d'ailleurs faire confirmer la décision - est habilitée à exercer le présent recours pour son compte.</w:t>
      </w:r>
    </w:p>
    <w:p>
      <w:r>
        <w:rPr>
          <w:b/>
        </w:rPr>
        <w:t>E. 2.3</w:t>
      </w:r>
    </w:p>
    <w:p>
      <w:r>
        <w:t>Enfin, le recours a pour objet une décision de restitution de l'effet suspensif, c'est-à-dire une décision incidente contre laquelle un recours n'est recevable qu'aux conditions de l' art. 93 al. 1 LTF ( ATF 137 III 475 p. 476/477). En l'occurrence, dès lors que la mesure de curatelle de portée générale n'est pas remise en cause et que la décision du TPAE est exécutoire à cet égard, il faut admettre que le besoin de protection du recourant - qui couvre non seulement les mesures d'administration et de gestion de son patrimoine, mais également les soins personnels ( cf . art. 398 al. 2 CC ) - a pour conséquence que la décision attaquée peut lui causer un préjudice irréparable ( art. 93 al. 1 let. a LTF ; cf . sur cette notion: ATF 138 III 333 consid. 1.3.1 p. 335 et les arrêts cités); en effet, en tant qu'elle nie " l'urgence à l'entrée en force de la mesure de protection ", elle a pour effet pratique de supprimer une telle protection jusqu'à droit connu sur le recours de l'intimée.</w:t>
      </w:r>
    </w:p>
    <w:p>
      <w:r>
        <w:rPr>
          <w:b/>
        </w:rPr>
        <w:t>E. 2.4</w:t>
      </w:r>
    </w:p>
    <w:p>
      <w:r>
        <w:t>Vu ce qui précède, le présent recours, formé par la curatrice pour le compte de la personne concernée, est recevable.</w:t>
      </w:r>
    </w:p>
    <w:p>
      <w:r>
        <w:rPr>
          <w:b/>
        </w:rPr>
        <w:t>E. 3</w:t>
      </w:r>
    </w:p>
    <w:p>
      <w:r>
        <w:t>La décision entreprise porte sur des mesures provisionnelles au sens de l' art. 98 LTF , en sorte que le recourant ne peut se plaindre que d'une violation de ses droits constitutionnels ( ATF 137 III 475 consid. 2 p. 477 et la jurisprudence citée).</w:t>
      </w:r>
    </w:p>
    <w:p>
      <w:r>
        <w:rPr>
          <w:b/>
        </w:rPr>
        <w:t>E. 4</w:t>
      </w:r>
    </w:p>
    <w:p>
      <w:r>
        <w:t>Invoquant son droit d'être entendu garanti par l' art. 29 al. 2 Cst. , le recourant reproche à la Chambre de surveillance d'avoir statué sur l'effet suspensif " sans au préalable interpe[l]ler les parties intervenantes à savoir la curatrice et son protégé ". Il fait en outre valoir que la décision querellée souffre d'un défaut de motivation.</w:t>
      </w:r>
    </w:p>
    <w:p>
      <w:r>
        <w:rPr>
          <w:b/>
        </w:rPr>
        <w:t>E. 4.1</w:t>
      </w:r>
    </w:p>
    <w:p>
      <w:r>
        <w:t>Le droit d'être entendu est une garantie de nature formelle, dont la violation entraîne l'annulation de l'acte déféré sans égard aux chances de succès du recours sur le fond ( ATF 137 I 195 consid. 2.2 p. 197; 135 I 279 consid. 2.6.1 p. 285). Tel qu'il découle de l' art. 29 al. 2 Cst. , il comprend, en particulier, le droit pour le justiciable de s'exprimer sur les éléments pertinents avant qu'une décision ne soit prise quant à sa situation juridique ( ATF 133 I 270 consid. 3.1 p. 277).</w:t>
      </w:r>
    </w:p>
    <w:p>
      <w:r>
        <w:rPr>
          <w:b/>
        </w:rPr>
        <w:t>E. 4.2</w:t>
      </w:r>
    </w:p>
    <w:p>
      <w:r>
        <w:t>En l'occurrence, l'autorité précédente a restitué l'effet suspensif à réception du recours de l'intimée, sans donner préalablement au recourant l'occasion de se déterminer; ce faisant, elle a manifestement violé le droit d'être entendu de l'intéressé. Le recours apparaît fondé pour ce motif déjà, sans qu'il ne soit nécessaire de se prononcer sur le moyen pris du défaut de motivation.</w:t>
      </w:r>
    </w:p>
    <w:p>
      <w:r>
        <w:rPr>
          <w:b/>
        </w:rPr>
        <w:t>E. 5</w:t>
      </w:r>
    </w:p>
    <w:p>
      <w:r>
        <w:t>En conclusion, le recours doit être admis, la décision attaquée annulée et l'affaire renvoyée à l'autorité précédente pour nouvelle décision. Les frais judiciaires sont mis à la charge de l'intimée qui succombe, tant sur le fond que sur la requête d'effet suspensif ( art. 66 al. 1 LTF ). Le recourant a procédé par l'intermédiaire de sa curatrice, mais sans le concours d'un avocat agissant ès qualités, en sorte qu'il ne peut prétendre à une indemnité de dépens ( ATF 135 III 127 consid. 4 p.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