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5A_413/2018 vom 17. Mai 2018</w:t>
      </w:r>
    </w:p>
    <w:p>
      <w:r>
        <w:t>Bundesgericht, 2018-05-17, DE</w:t>
      </w:r>
    </w:p>
    <w:p>
      <w:r>
        <w:rPr>
          <w:b/>
        </w:rPr>
        <w:t xml:space="preserve">Quelle: </w:t>
      </w:r>
      <w:r>
        <w:t>https://mcp.opencaselaw.ch/entscheid/bger_5A_413_2018</w:t>
      </w:r>
    </w:p>
    <w:p>
      <w:r>
        <w:t>FR: TF 5A_413/2018 du 17 mai 2018</w:t>
      </w:r>
    </w:p>
    <w:p>
      <w:r>
        <w:t>IT: TF 5A_413/2018 del 17 maggio 2018</w:t>
      </w:r>
    </w:p>
    <w:p>
      <w:pPr>
        <w:pStyle w:val="Heading2"/>
      </w:pPr>
      <w:r>
        <w:t>Erwägungen</w:t>
      </w:r>
    </w:p>
    <w:p>
      <w:r>
        <w:rPr>
          <w:b/>
        </w:rPr>
        <w:t>E. 1</w:t>
      </w:r>
    </w:p>
    <w:p>
      <w:r>
        <w:t>Die Anfechtung mehrerer Akte im Rahmen einer einzigen Beschwerdeschrift ist möglich; allerdings ist in der Beschwerdebegründung auf eine separate Behandlung zu achten, denn gemäss Art. 42 Abs. 2 BGG ist in nachvollziehbarer Weise darzulegen, inwiefern der jeweilige Entscheid Recht verletzt. Dies erfolgt nicht; vielmehr enthält die Eingabe ein kunterbuntes Durcheinander sowie verschiedene über den Gegenstand eines der drei Akte hinausgehende Anliegen. Ob allein schon deshalb auf die Eingabe nicht einzutreten wäre, kann insofern offen bleiben, als auf die vorliegend zu behandelnde Rechtsverzögerungsbeschwerde gegen den Entscheid ZK1 17 139 ohnehin auch aus weiteren Gründen nicht einzutreten ist (die weiteren Beschwerden werden im Rahmen der Verfahren 5A_414/2018 und 5A_415/2018 behandelt).</w:t>
      </w:r>
    </w:p>
    <w:p>
      <w:r>
        <w:rPr>
          <w:b/>
        </w:rPr>
        <w:t>E. 2</w:t>
      </w:r>
    </w:p>
    <w:p>
      <w:r>
        <w:t>Aus der Begründungspflicht gemäss Art. 42 Abs. 2 BGG ergibt sich, dass der Beschwerdeführer in gezielter Auseinandersetzung mit den für das Ergebnis des angefochtenen Entscheides massgeblichen Erwägungen plausibel aufzuzeigen hat, welche Rechte bzw. Rechtsnormen und inwiefern die Vorinstanz diese verletzt haben soll ( BGE 140 III 86 E. 2 S. 88 f.; 140 III 115 E. 2 S. 116).</w:t>
      </w:r>
    </w:p>
    <w:p>
      <w:r>
        <w:t>Kernerwägung des Entscheides ZK1 17 139, welcher sich mit der Rechtsverzögerungsthematik und dem erstinstanzlichen Verfahrensablauf eingehend beschäftigt, ist, dass sich der Beschwerdeführer angesichts seiner zahlreichen Eingaben und des damit von ihm gewählten prozessualen Vorgehens selbst zuzuschreiben hat, dass das erstinstanzliche Verfahren sich in die Länge zieht.</w:t>
      </w:r>
    </w:p>
    <w:p>
      <w:r>
        <w:t>Damit und insbesondere mit den vom Kantonsgericht im Einzelnen dargelegten Verfahrensschritten setzt sich der Beschwerdeführer ungenügend auseinander, indem er in allgemeiner Weise festhält, der erstinstanzliche Richter würde immer nur superprovisorisch entscheiden, scheine den Überblick verloren zu haben und schiebe bloss Akten hin und her statt eine mündliche Verhandlung durchzuführen, aber das Kantonsgericht schütze die Prozessverschleppung einfach mit dem Argument, dass es sich um ein komplexes Verfahren mit umfangreichen Beweismassnahmen handle. Es wäre im Einzelnen aufzuzeigen, welche Anträge nicht innert angemessener Frist behandelt worden sein sollen und inwiefern dies vor Kantonsgericht spezifisch gerügt, aber von diesem in Verletzung von Art. 29 Abs. 1 BV nicht als Rechtsverzögerung angesehen wurde.</w:t>
      </w:r>
    </w:p>
    <w:p>
      <w:r>
        <w:rPr>
          <w:b/>
        </w:rPr>
        <w:t>E. 3</w:t>
      </w:r>
    </w:p>
    <w:p>
      <w:r>
        <w:t>Sodann kann vor Bundesgericht nicht mehr oder anderes verlangt werden, als von der Vorinstanz beurteilt wurde; auch in dieser Hinsicht ist auf die Beschwerde nicht einzutreten ( BGE 136 V 362 E. 3.4.2 S. 365; Urteil 5A_761/2016 vom 20. Juni 2017 E. 2.2.3). Im Übrigen hat bereits das Kantonsgericht den Beschwerdeführer darauf hingewiesen, dass im Rahmen der Rechtsverzögerungsbeschwerde keine materiellen Begehren gestellt bzw. Anliegen beurteilt werden können.</w:t>
      </w:r>
    </w:p>
    <w:p>
      <w:r>
        <w:rPr>
          <w:b/>
        </w:rPr>
        <w:t>E. 4</w:t>
      </w:r>
    </w:p>
    <w:p>
      <w:r>
        <w:t>Soweit schliesslich (integral, ohne irgendwelche Aufschlüsselung in Bezug auf die drei Entscheide des Kantonsgerichts) eine ungenügende Entschädigung des unentgeltlichen Rechtsvertreters für die nach eigenen Angaben bislang erbrachten 466 Stunden moniert wird, welche aufgrund der sorgfältigen Rechtsvertretung geboten gewesen seien, ist Folgendes festzuhalten:</w:t>
      </w:r>
    </w:p>
    <w:p>
      <w:r>
        <w:t>Nach konstanter Rechtsprechung wird ein schutzwürdiges Interesse des Mandanten an der Erhöhung des Honorars seines unentgeltlichen Rechtsbeistandes verneint (Urteile 5D_175/2008 vom 6. Februar 2009 E. 1.2; 5D_205/2011 vom 24. Januar 2012 E. 2.3.2; 5A_451/2011 vom 25. Juli 2011 E. 1.2; 4A_511/2015 vom 9. Dezember 2015 E. 1.3); dieser muss vielmehr in eigenem Namen Beschwerde erheben (Urteile 5P.2002 vom 21. November 2002 E. 1; 5D_145/2007 vom 5. Februar 2008 E. 1.3; 4D_102/2011 vom 12. März 2012 E. 1; 5D_54/2014 vom 1. Juli 2014 E. 1.3; 5A_157/2015 vom 12. November 2015 E. 1.3; 4A_511/2015 vom 9. Dezember 2015 E. 1.5; 5A_34/2018 vom 21. März 2018 E. 2; analog für den amtlichen Verteidiger: Urteile 6B_17/2008 vom 7. März 2008 E. 2.2; 6B_700/2009 vom 26. November 2009 E. 1; 1B_94/2010 vom 22. Juli 2010 E. 6; 6B_45/2012 vom 7. Mai 2012E. 1.2). Die vorliegende Beschwerde ist aber ausschliesslich im Namen des Beschwerdeführers eingereicht worden, so dass bezüglich Kostenfestsetzung ein zusätzlicher Nichteintretensgrund vorliegt.</w:t>
      </w:r>
    </w:p>
    <w:p>
      <w:r>
        <w:rPr>
          <w:b/>
        </w:rPr>
        <w:t>E. 5</w:t>
      </w:r>
    </w:p>
    <w:p>
      <w:r>
        <w:t>Nach dem Gesagten erweist sich die Beschwerde als offensichtlich unzulässig und offensichtlich nicht hinreichend begründet, weshalb auf sie nicht eingetreten werden kann und der Präsident im vereinfachten Verfahren entscheidet ( Art. 108 Abs. 1 lit. a und b BGG ).</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 zumal der Beschwerdeführer durch einen Anwalt vertreten ist und sich dessen Vorkehrungen zurechnen lassen muss.</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