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413/2011 vom 22. Juli 2011</w:t>
      </w:r>
    </w:p>
    <w:p>
      <w:r>
        <w:t>Bundesgericht, 2011-07-22, DE</w:t>
      </w:r>
    </w:p>
    <w:p>
      <w:r>
        <w:rPr>
          <w:b/>
        </w:rPr>
        <w:t xml:space="preserve">Quelle: </w:t>
      </w:r>
      <w:r>
        <w:t>https://mcp.opencaselaw.ch/entscheid/bger_5A_413_2011</w:t>
      </w:r>
    </w:p>
    <w:p>
      <w:r>
        <w:t>FR: TF 5A 413/2011 du 22 juillet 2011</w:t>
      </w:r>
    </w:p>
    <w:p>
      <w:r>
        <w:t>IT: TF 5A 413/2011 del 22 luglio 2011</w:t>
      </w:r>
    </w:p>
    <w:p>
      <w:pPr>
        <w:pStyle w:val="Heading2"/>
      </w:pPr>
      <w:r>
        <w:t>Regeste</w:t>
      </w:r>
    </w:p>
    <w:p>
      <w:r>
        <w:t>Betreibungsbegehren | Schuldbetreibungs- und Konkursrecht</w:t>
      </w:r>
    </w:p>
    <w:p>
      <w:pPr>
        <w:pStyle w:val="Heading2"/>
      </w:pPr>
      <w:r>
        <w:t>Erwägungen</w:t>
      </w:r>
    </w:p>
    <w:p>
      <w:r>
        <w:rPr>
          <w:b/>
        </w:rPr>
        <w:t>E. 1</w:t>
      </w:r>
    </w:p>
    <w:p>
      <w:r>
        <w:t>Angefochten ist ein Entscheid einer kantonalen Aufsichtsbehörde in Schuldbetreibungs- und Konkurssachen, welcher gemäss Art. 72 Abs. 2 lit. a BGG der Beschwerde in Zivilsachen unterliegt, ohne dass es auf den Streitwert ankommt ( Art. 74 Abs. 2 lit. c BGG ). Ein Entscheid einer kantonalen Aufsichtsbehörde ist ein Endentscheid im Sinne von Art. 90 BGG ( BGE 133 III 350 E. 1.2 S. 351). Die fristgemäss erhobene Beschwerde in Zivilsachen ist grundsätzlich zulässig.</w:t>
      </w:r>
    </w:p>
    <w:p>
      <w:r>
        <w:rPr>
          <w:b/>
        </w:rPr>
        <w:t>E. 2</w:t>
      </w:r>
    </w:p>
    <w:p>
      <w:r>
        <w:t>Die Beschwerdeführerin wirft der Vorinstanz vor, durch eine zu enge Auslegung von Art. 67 Abs. 1 Ziff. 4 SchKG Bundesrecht verletzt zu haben. Der Gläubiger hat in seinem Betreibungsbegehren u.a. die Forderungsurkunde und deren Datum bzw. subsidiär, d.h. - "in Ermangelung einer solchen" - den "Grund der Forderung" anzugeben ( Art. 67 Abs. 1 Ziff. 4 SchKG ). Vorliegend steht die letztgenannte subsidiäre Variante zur Diskussion, denn eine Forderungsurkunde wurde nicht bezeichnet. Die Umschreibung des Forderungsgrundes soll dem Betriebenen zusammen mit den weiteren Angaben auf dem Zahlungsbefehl (vgl. Art. 69 SchKG ) erlauben, sich zur Anerkennung des in Betreibung gesetzten Betrages zu entschliessen ( BGE 121 III 19 E. 2a S. 19 f.). Eine knappe Umschreibung des Forderungsgrundes genügt, wenn der Grund der Forderung aus seinem Gesamtzusammenhang für den Betriebenen nach Treu und Glauben erkennbar ist ( BGE 121 III 19 E. 2b S. 20). Die Rüge der Beschwerdeführerin erweist sich schon deshalb als unbegründet, weil bei der vorliegend zur Anwendung gelangenden subsidiären Variante von Art. 67 Abs. 1 Ziff. 4 SchKG die alleinige Angabe des Forderungsgrundes ohnehin nicht genügt: diesfalls tritt nämlich lediglich der Forderungsgrund an die Stelle der Forderungsurkunde, wobei das (Entstehungs-)Datum der Forderung - wie bei der primären Variante - allerdings ebenfalls anzugeben ist ( BGE 44 III 102 S. 103; PIERRE-ROBERT GILLIÉRON, Commentaire de la loi fédérale sur la poursuite pour dettes et faillite, 1999, N. 76 zu Art. 67 SchKG ). Bei Dauerschuldverhältnissen mit periodischen Zahlungspflichten (wie der vorliegenden Telefonrechnung) bedeutet dies, dass die in Betreibung zu setzende Zeitperiode im Betreibungsbegehren zu spezifizieren ist. Ganz besonders rechtfertigt sich dies, wenn - wie vorliegend - für zedierte Forderungen Betreibung eingeleitet werden soll, zumal der davon betroffene Schuldner von der Zession (und den relevanten Zeitperioden) nicht notwendigerweise Kenntnis haben muss ( Art. 167 OR e contrario). Diese Angaben müssen im Lichte von Art. 67 Abs. 1 Ziff. 4 SchKG im Betreibungsbegehren selbst aufgeführt sein; eine zuvor geführte Korrespondenz mit dem Schuldner ändert daran nichts.</w:t>
      </w:r>
    </w:p>
    <w:p>
      <w:r>
        <w:rPr>
          <w:b/>
        </w:rPr>
        <w:t>E. 3</w:t>
      </w:r>
    </w:p>
    <w:p>
      <w:r>
        <w:t>Bei diesem Ausgang des Verfahrens hat die Beschwerdeführerin für die Gerichtskosten aufzukommen ( Art. 66 Abs.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