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5A_412/2024 vom 3. Juli 2024</w:t>
      </w:r>
    </w:p>
    <w:p>
      <w:r>
        <w:t>Bundesgericht, 2024-07-03, DE</w:t>
      </w:r>
    </w:p>
    <w:p>
      <w:r>
        <w:rPr>
          <w:b/>
        </w:rPr>
        <w:t xml:space="preserve">Quelle: </w:t>
      </w:r>
      <w:r>
        <w:t>https://mcp.opencaselaw.ch/entscheid/bger_5A_412_2024</w:t>
      </w:r>
    </w:p>
    <w:p>
      <w:r>
        <w:t>FR: TF 5A_412/2024 du 3 juillet 2024</w:t>
      </w:r>
    </w:p>
    <w:p>
      <w:r>
        <w:t>IT: TF 5A_412/2024 del 3 luglio 2024</w:t>
      </w:r>
    </w:p>
    <w:p>
      <w:pPr>
        <w:pStyle w:val="Heading2"/>
      </w:pPr>
      <w:r>
        <w:t>Erwägungen</w:t>
      </w:r>
    </w:p>
    <w:p>
      <w:r>
        <w:rPr>
          <w:b/>
        </w:rPr>
        <w:t>E. 1</w:t>
      </w:r>
    </w:p>
    <w:p>
      <w:r>
        <w:t>Die Beschwerde hat ein Rechtsbegehren und eine Begründung zu enthalten ( Art. 42 Abs. 1 BGG ), in welcher in gedrängter Form dargelegt wird, inwiefern der angefochtene Entscheid Recht verletzt ( Art. 42 Abs. 2 BGG ), was eine sachbezogene Auseinandersetzung mit dessen Erwägungen erfordert ( BGE 140 III 115 E. 2; 142 III 364 E. 2.4).</w:t>
      </w:r>
    </w:p>
    <w:p>
      <w:r>
        <w:rPr>
          <w:b/>
        </w:rPr>
        <w:t>E. 2</w:t>
      </w:r>
    </w:p>
    <w:p>
      <w:r>
        <w:t>Die Beschwerdeführerin hält einzig fest, dass ihre Rechte von zwei Instanzen verletzt worden seien und sie einen minimalen Kontakt mit ihrem Kind wolle. Inhalt des angefochtenen Beschlusses ist indes die Rückweisung der Berufung als nicht erfolgt und die daraus resultierende Verfahrensabschreibung. Hierzu äusserst sich die Beschwerdeführerin nicht und sie zeigt insbesondere nicht auf, worin diesbezüglich die Rechtsverletzung liegen soll.</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ist auf die Erhebung von Gerichtskosten zu verzichten ( Art. 66 Abs. 1 BGG ). Damit ist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