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412/2022 vom 8. Juli 2022</w:t>
      </w:r>
    </w:p>
    <w:p>
      <w:r>
        <w:t>Bundesgericht, 2022-07-08, DE</w:t>
      </w:r>
    </w:p>
    <w:p>
      <w:r>
        <w:rPr>
          <w:b/>
        </w:rPr>
        <w:t xml:space="preserve">Quelle: </w:t>
      </w:r>
      <w:r>
        <w:t>https://mcp.opencaselaw.ch/entscheid/bger_5A_412_2022</w:t>
      </w:r>
    </w:p>
    <w:p>
      <w:r>
        <w:t>FR: TF 5A 412/2022 du 8 juillet 2022</w:t>
      </w:r>
    </w:p>
    <w:p>
      <w:r>
        <w:t>IT: TF 5A 412/2022 del 8 luglio 2022</w:t>
      </w:r>
    </w:p>
    <w:p>
      <w:pPr>
        <w:pStyle w:val="Heading2"/>
      </w:pPr>
      <w:r>
        <w:t>Regeste</w:t>
      </w:r>
    </w:p>
    <w:p>
      <w:r>
        <w:t>Definitive Rechtsöffnung | Schuldbetreibungs- und Konkursrecht</w:t>
      </w:r>
    </w:p>
    <w:p>
      <w:pPr>
        <w:pStyle w:val="Heading2"/>
      </w:pPr>
      <w:r>
        <w:t>Erwägungen</w:t>
      </w:r>
    </w:p>
    <w:p>
      <w:r>
        <w:rPr>
          <w:b/>
        </w:rPr>
        <w:t>E. 1</w:t>
      </w:r>
    </w:p>
    <w:p>
      <w:r>
        <w:t>Mit Entscheid vom 12. April 2022 erteilte das Regionalgericht Oberland der Beschwerdegegnerin gegenüber dem Beschwerdeführer in der Betreibung Nr. xxx des Betreibungsamtes Oberland, Dienststelle Oberland Ost, die definitive Rechtsöffnung für Fr. 72'000.-- nebst Zins sowie für Fr. 2'029.--. Dagegen erhob der Beschwerdeführer am 27. April 2022 Beschwerde beim Obergericht des Kantons Bern. Mit Entscheid vom 16. Mai 2022 trat das Obergericht auf die Beschwerde mangels genügender Begründung nicht ein. Dagegen hat der Beschwerdeführer am 30. Mai 2022 Beschwerde an das Bundesgericht erhoben.</w:t>
      </w:r>
    </w:p>
    <w:p>
      <w:r>
        <w:rPr>
          <w:b/>
        </w:rPr>
        <w:t>E. 2</w:t>
      </w:r>
    </w:p>
    <w:p>
      <w:r>
        <w:t>Angefochten ist ein Nichteintretensentscheid. Thema des bundesgerichtlichen Verfahrens ist demnach grundsätzlich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jedoch nicht darauf ein, dass er seine Beschwerde an das Obergericht ungenügend begründet hat. Er wiederholt bloss seine Vorbringen, wonach ein Betrag aus Güterrecht von der Bank C.________ koordiniert werde und die Alimentenschuld nicht korrekt berechnet worden sei. Dabei geht der Beschwerdeführer auch nicht auf die zusätzliche Erwägung des Obergerichts ein, wonach sich das Rechtsöffnungsgericht mit der materiellen Richtigkeit des als Rechtsöffnungstitel eingereichten Urteils nicht zu befassen habe. Soweit er sich sinngemäss auf die Tilgung der Alimentenschulden durch eine Lohnpfändung beruft, hätte er dies im kantonalen Verfahren vorbringen müssen. Vor Bundesgericht ist er damit verspätet ( Art. 99 Abs. 1 BGG ). Die Beschwerde enthält damit offensichtlich keine hinreichende Begründung. Auf sie ist im vereinfachten Verfahren durch das präsidierende Mitglied der Abteilung nicht einzutreten (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