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5A_411/2019 vom 21. Mai 2019</w:t>
      </w:r>
    </w:p>
    <w:p>
      <w:r>
        <w:t>Bundesgericht, 2019-05-21, DE</w:t>
      </w:r>
    </w:p>
    <w:p>
      <w:r>
        <w:rPr>
          <w:b/>
        </w:rPr>
        <w:t xml:space="preserve">Quelle: </w:t>
      </w:r>
      <w:r>
        <w:t>https://mcp.opencaselaw.ch/entscheid/bger_5A_411_2019</w:t>
      </w:r>
    </w:p>
    <w:p>
      <w:r>
        <w:t>FR: TF 5A_411/2019 du 21 mai 2019</w:t>
      </w:r>
    </w:p>
    <w:p>
      <w:r>
        <w:t>IT: TF 5A_411/2019 del 21 maggio 2019</w:t>
      </w:r>
    </w:p>
    <w:p>
      <w:pPr>
        <w:pStyle w:val="Heading2"/>
      </w:pPr>
      <w:r>
        <w:t>Erwägungen</w:t>
      </w:r>
    </w:p>
    <w:p>
      <w:r>
        <w:rPr>
          <w:b/>
        </w:rPr>
        <w:t>E. 1</w:t>
      </w:r>
    </w:p>
    <w:p>
      <w:r>
        <w:t>Neue Begehren sind vor Bundesgericht unzulässig ( Art. 99 Abs. 2 BGG ). Soweit die Beschwerdeführerin mehr oder anderes verlangt, als obergerichtlich beurteilt wurde, ist darauf nicht einzutreten ( BGE 136 V 362 E. 3.4.2 S. 365 ; 142 I 155 E. 4.4.2 S. 156). Dies betrifft das sinngemässe Begehren um Schadenersatz ("Entgeltung") für "Verstümmelung" und für "verlorene Arbeitszeit und -möglichkeit". Gleiches gilt für das Anliegen um "Strafverfolgung StGB"; abgesehen davon ist das Bundesgericht nicht zuständig zur Entgegennahme von Strafanzeigen.</w:t>
      </w:r>
    </w:p>
    <w:p>
      <w:r>
        <w:rPr>
          <w:b/>
        </w:rPr>
        <w:t>E. 2</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t>Nach den Feststellungen des Obergerichts sieht die Regelung des persönlichen Verkehrs einen begleiteten Besuch pro Monat vor, dessen Durchführung aber aufgrund der psychischen Erkrankung und Kooperationsunfähigkeit der Mutter nicht möglich ist; faktisch sieht sie ihren Sohn rund dreimal jährlich anlässlich von Familienfesten bei der Schwester. Davon ausgehend schützte das Obergericht unter Berufung auf das Kindeswohls den eine Ausdehnung des Besuchsrechts abweisenden Entscheid der KESB. Auf die betreffenden Erwägungen nimmt die Beschwerdeführerin keinerlei Bezug. Sie wünscht sich, ihr Kind häufiger zu sehen, ohne auf die vom Obergericht angeführten Gründe einzugehen, wieso dies nicht tunlich erscheint.</w:t>
      </w:r>
    </w:p>
    <w:p>
      <w:r>
        <w:t>Soweit die Beschwerdeführerin von "ganze Familienclan" spricht und festhält, sie bange um die Sicherheit von sich und von ihrem Sohn, dürfte sinngemäss dessen Umplatzierung zum Vater angesprochen sein; auch diesbezüglich erfolgt aber nicht ansatzweise eine Bezugnahme auf die ausführlichen Erwägungen im angefochtenen Entscheid.</w:t>
      </w:r>
    </w:p>
    <w:p>
      <w:r>
        <w:t>Im Übrigen spricht die Beschwerdeführerin losgelöst von konkreter Thematik stichwortartig von "Demokratie", von "Peinigern" und von "schrecklichen Gräueltaten" wie "tagtäglichen Schändungen". Damit sind keine Rechtsverletzungen im Zusammenhang mit dem angefochtenen Entscheid darzutun.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