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5A_411/2014 vom 3. Februar 2015</w:t>
      </w:r>
    </w:p>
    <w:p>
      <w:r>
        <w:t>Bundesgericht, 2015-02-03, DE</w:t>
      </w:r>
    </w:p>
    <w:p>
      <w:r>
        <w:rPr>
          <w:b/>
        </w:rPr>
        <w:t xml:space="preserve">Quelle: </w:t>
      </w:r>
      <w:r>
        <w:t>https://mcp.opencaselaw.ch/entscheid/bger_5A_411_2014</w:t>
      </w:r>
    </w:p>
    <w:p>
      <w:r>
        <w:t>FR: TF 5A_411/2014 du 3 février 2015</w:t>
      </w:r>
    </w:p>
    <w:p>
      <w:r>
        <w:t>IT: TF 5A_411/2014 del 3 febbraio 2015</w:t>
      </w:r>
    </w:p>
    <w:p>
      <w:pPr>
        <w:pStyle w:val="Heading2"/>
      </w:pPr>
      <w:r>
        <w:t>Erwägungen</w:t>
      </w:r>
    </w:p>
    <w:p>
      <w:r>
        <w:rPr>
          <w:b/>
        </w:rPr>
        <w:t>E. 1.1</w:t>
      </w:r>
    </w:p>
    <w:p>
      <w:r>
        <w:t>Die Beschwerdeführerin wehrt sich gegen den Endentscheid eines oberen Gerichts, das als letzte kantonale Instanz die Weisung der KESB U.________ bestätigt hat, ihre Tochter E.A.________ für eine psychologische Begleitung im Zusammenhang mit dem Kontakt zum Vater anzumelden (Art. 72 Abs. 2 Bst. b Ziff. 6, Art. 75 und 90 BGG ). Als sorgerechtsberechtigte Mutter ist die Beschwerdeführerin durch den angefochtenen Entscheid besonders berührt und verfügt sie über ein schutzwürdiges Interesse an dessen Aufhebung oder Änderung (Art. 76 Abs. 1 Bst. b BGG). Die Angelegenheit ist nicht vermögensrechtlicher Natur. Auf die rechtzeitig ( Art. 100 BGG ) eingereichte Beschwerde in Zivilsachen ist einzutreten.</w:t>
      </w:r>
    </w:p>
    <w:p>
      <w:r>
        <w:rPr>
          <w:b/>
        </w:rPr>
        <w:t>E. 1.2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und prüft frei, ob der angefochtene Entscheid Recht verletzt. Was die Tatsachen angeht, die dem angefochtenen Entscheid zugrunde liegen, ist das Bundesgericht an die vorinstanzlichen Feststellungen gebunden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vgl. BGE 134 II 244 E. 2.2 S. 246; 133 II 249 E. 1.4.2 S. 254).</w:t>
      </w:r>
    </w:p>
    <w:p>
      <w:r>
        <w:rPr>
          <w:b/>
        </w:rPr>
        <w:t>E. 2.1</w:t>
      </w:r>
    </w:p>
    <w:p>
      <w:r>
        <w:t>Die Beschwerdeführerin kritisiert, dass E.A.________ nicht zur Anordnung der psychologischen Begleitung angehört worden sei. Damit sei der rechtserhebliche Sachverhalt lückenhaft festgestellt worden.</w:t>
      </w:r>
    </w:p>
    <w:p>
      <w:r>
        <w:t>Die Beschwerdeführerin erhebt mithin eine Sachverhaltsrüge, wofür das Rügeprinzip gilt (vorstehend E. 1.2). Sie führt indes nicht in rechtsgenüglicher Weise aus, welche Punkte von der Vorinstanz qualifiziert falsch festgestellt worden seien resp. was eine erneute Anhörung der Tochter konkret hätte ergeben sollen. Damit ist keine Willkür darzutun. Überdies übte die Beschwerdeführerin zwar bereits in ihrer Beschwerde an die Vorinstanz vom 30. Oktober 2013 Kritik an der Art und Weise, wie die KESB U.________ den Sachverhalt ermittelt hatte; die unterlassene Kindesanhörung war dabei aber kein Thema. Die Beschwerdeführerin bringt auch nicht vor, dass die Vorinstanz entsprechende Ausführungen oder gar einen Antrag auf Kindesanhörung im Berufungsverfahren ignoriert hätte. Damit hat sie den Instanzenzug nicht ausgeschöpft ( Art. 75 BGG ) und sie legt auch nicht dar, dass die Voraussetzungen von Art. 99 Abs. 1 BGG erfüllt wären.</w:t>
      </w:r>
    </w:p>
    <w:p>
      <w:r>
        <w:rPr>
          <w:b/>
        </w:rPr>
        <w:t>E. 2.2</w:t>
      </w:r>
    </w:p>
    <w:p>
      <w:r>
        <w:t>Soweit der Vorwurf der fehlenden Anhörung sinngemäss darauf zielt, der Vorinstanz vorzuwerfen, die fehlende Kindesanhörung nicht von Amtes wegen festgestellt zu haben, um anschliessend die persönliche Anhörung entweder nachzuholen oder die Sache zur weiteren Instruktion an die KESB U.________ zurückzuweisen, übersieht die Beschwerdeführerin, dass sich Art. 314a ZGB , der die Anhörung des Kindes regelt, an die Kindesschutzbehörde richtet und damit im Grunde genommen nur für die erste Instanz gilt. Die betroffene Tochter wurde, wie die Beschwerdeführerin selbst ausführt, im Rahmen des Eheschutz- und Scheidungsverfahrens einmal von der Kinderschutzgruppe des Spitals H.________ angehört, als sie achteinhalb Jahre alt gewesen sei, und einmal von den UPD V.________ (vgl. auch Bst. B.a), als sie zehneinhalb gewesen sei.</w:t>
      </w:r>
    </w:p>
    <w:p>
      <w:r>
        <w:t>Eine Befragung im Rahmen einer Begutachtung - wie vorliegend geschehen - ist zulässig, stehen gemäss Rechtsprechung doch die Anhörung des Kindes durch den Richter selbst und jene durch eine beauftragte Drittperson auf gleicher Stufe. Von wiederholten Anhörungen ist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(zu den Voraussetzungen ausführlich BGE 133 III 553 E. 4 S. 554 f. mit weiteren Hinweisen). Nach den erwähnten Anhörungen durch Fachpersonen fanden die Standpunkte der Tochter weiterhin Eingang in das Verfahren durch die Eingaben und Berichte ihrer Mutter, der Psychologin und der Beiständin. Es kann nicht erwartet werden, dass eine weitere Anhörung des Mädchens gänzlich neue Aspekte hervorgebracht hätte. Vielmehr hätte die Gefahr bestanden, dieses unnötig zusätzlich zu belasten. Vor diesem Hintergrund durfte die Vorinstanz von einer persönlichen Anhörung absehen.</w:t>
      </w:r>
    </w:p>
    <w:p>
      <w:r>
        <w:rPr>
          <w:b/>
        </w:rPr>
        <w:t>E. 3.1</w:t>
      </w:r>
    </w:p>
    <w:p>
      <w:r>
        <w:t>In der Sache hat sich die Vorinstanz die Auffassung der KESB U.________ zu eigen gemacht, wonach die Anordnung einer psychologischen Begleitung von E.A.________ nicht nur sinnvoll, sondern auch erforderlich und zumutbar sei. Die Trennungsgeschichte der Kindseltern sei weiterhin als intransparent zu bezeichnen und der von E.A.________ gewünschte Kontaktabbruch mit dem Vater sei jedenfalls nicht ohne Weiteres mit den aktenkundigen Vorfällen erklärbar. Insbesondere falle auf, dass das negativ besetzte Bild, welches E.A.________ von ihrem Vater habe, geradezu versteinert sei. Die psychologische Begleitung solle ihr die Chance geben, dass der Vater trotz des bestehenden Kontaktunterbruchs präsent bleibe und nicht je länger je mehr zu einem Konstrukt werde. Die Aufrechterhaltung einer minimalen Beziehung zum Vater dürfte trotz der gegenwärtigen Haltung des 12-jährigen Kindes nicht nur im Interesse des Vaters, sondern längerfristig auch in demjenigen des Kindes sein. Dafür sprächen auch die Feststellungen im Kinderzuteilungsgutachten der UPD V.________ vom 13. Juli 2011, wonach der Kontakt zum Kindsvater als sehr unterstützenswert angesehen und bei E.A.________ bei fehlender Förderung der sich entwickelnden eigenen Sicht für einen Vater von einer Entwicklungsgefährdung ausgegangen werde.</w:t>
      </w:r>
    </w:p>
    <w:p>
      <w:r>
        <w:t>Soweit die Beschwerdeführerin vorbringe, der fehlende Kontakt habe sich nicht negativ auf die Entwicklung der Mädchen ausgewirkt, sei darauf hinzuweisen, dass ein Kontaktabbruch eine Verletzung des Rechts des Vaters auf persönlichen Verkehr darstelle, was nicht im Belieben der Kinder stehe, sondern wichtige Gründe erfordere. Da bei vorliegender Konstellation nicht ausgeschlossen werden könne, dass das negative Vaterbild von E.A.________ stark von demjenigen der Mutter und der beiden älteren Schwestern geprägt werde, scheine die Anordnung einer psychologischen Begleitung, welche durch eine neutrale erwachsene Person ins Spiel gebracht werde und in deren Rahmen eine Aufarbeitung vergangener Vorfälle stattfinden könne, äusserst sinnvoll und, um einer Entwicklungsgefährdung zu begegnen, auch erforderlich. In Anbetracht, dass lediglich eine psychologische Begleitung und kein direkter Kontakt mit dem Kindsvater angeordnet werde, sei es E.A.________ ausserdem zumutbar, dieser Anordnung auch gegen ihren gegenwärtigen Willen zu folgen.</w:t>
      </w:r>
    </w:p>
    <w:p>
      <w:r>
        <w:rPr>
          <w:b/>
        </w:rPr>
        <w:t>E. 3.2</w:t>
      </w:r>
    </w:p>
    <w:p>
      <w:r>
        <w:t>Die Beschwerdeführerin vertritt die Meinung, dass es erschreckend sei, feststellen zu müssen, in welch geringem Masse im Rahmen aller in dieser Sache bisher geführten Verfahren den Aussagen insbesondere der beiden älteren Töchter der Beschwerdeführerin Rechnung getragen worden sei. Dies obwohl es offensichtlich sei, dass diese beiden Mädchen über einen längeren Zeitraum während des Zusammenlebens der Eltern und nach der Trennung jener im Rahmen der Ausübung des Besuchsrechts des Vaters von diesem in nicht mehr als harmlos zu bezeichnender Weise körperlich und sexuell missbraucht worden seien. Es scheine bis heute von den Behörden - und hierbei besonders stossend auch nicht von den Kindesschutzbehörden - als entwicklungsschädigend erachtet zu werden, wenn Mädchen von einem Vater in dieser inadäquaten Art und Weise behandelt würden, solange nicht ein manifester körperlicher Übergriff einer gewissen Intensität nachgewiesen sei.</w:t>
      </w:r>
    </w:p>
    <w:p>
      <w:r>
        <w:t>Dass ein solches Verhalten eines Vaters, wie es der Kindsvater dieser Mädchen an den Tag gelegt habe, aber für die Entwicklung eines Mädchens, insbesondere in Bezug auf seine späteren Beziehungen zu Männern, fatal sei, dürfte einleuchten. Weshalb hier der Vater Schutz erhalten soll, um erneut Gelegenheit zu erlangen, sich in dieser Weise seinen Töchtern gegenüber zu verhalten, wovon auszugehen sei, solange Solches keine Sanktion erfahre, sei nicht einsehbar und geradezu erschütternd. Dass durch behördlich sanktionierte Banalisierung eines solchen väterlichen Verhaltens bei den betroffenen Töchtern noch grösserer Schaden angerichtet werde, scheine überhaupt nicht zu interessieren.</w:t>
      </w:r>
    </w:p>
    <w:p>
      <w:r>
        <w:rPr>
          <w:b/>
        </w:rPr>
        <w:t>E. 3.3.1</w:t>
      </w:r>
    </w:p>
    <w:p>
      <w:r>
        <w:t>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 BGE 122 III 229 E. 3a/bb S. 232 f.; 122 III 404 E. 3b S. 406 f.; 131 III 209 E. 5 S. 212).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 BGE 122 III 404 E. 3b S. 407; Urteile 5C.293/2005 vom 6. April 2006 E. 3; 5A_505/2013 vom 20. August 2013 E. 2.3).</w:t>
      </w:r>
    </w:p>
    <w:p>
      <w:r>
        <w:rPr>
          <w:b/>
        </w:rPr>
        <w:t>E. 3.3.2</w:t>
      </w:r>
    </w:p>
    <w:p>
      <w:r>
        <w:t>Die Kindesschutzbehörde kann Eltern, Pflegeeltern oder das Kind ermahnen und ihnen Weisungen erteilen, wenn sich die Ausübung oder Nichtausübung des persönlichen Verkehrs für das Kind nachteilig auswirkt oder wenn eine Ermahnung oder eine Weisung aus anderen Gründen geboten ist ( Art. 273 Abs. 2 ZGB ). Die Kindesschutzbehörde ist befugt, unter anderem auch eine Weisung zur Durchführung einer Therapie zu erlassen; die Kann-Vorschrift räumt dabei dem Richter und der Behörde einen grossen Ermessensspielraum ein (Urteil 5A_457/2009 vom 9. Dezember 2009 in: FamPra 2010, S. 474 mit Hinweisen). Das Bundesgericht überprüft die Ausübung richterlichen Ermessens durch die letzte kantonale Instanz mit Zurückhaltung; es schreitet nur dann ein,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132 III 97 E. 1 S. 99; 132 III 49 E. 2.1 S. 50 f.; 126 III 223 E. 4a S. 227 f.).</w:t>
      </w:r>
    </w:p>
    <w:p>
      <w:r>
        <w:rPr>
          <w:b/>
        </w:rPr>
        <w:t>E. 3.3.3</w:t>
      </w:r>
    </w:p>
    <w:p>
      <w:r>
        <w:t>Vorliegend hat die KESB U.________ im Entscheid vom 30. September 2013 eine Weisung gemäss Art. 273 Abs. 2 ZGB erlassen, welche vom Obergericht im angefochtenen Entscheid geschützt wurde. So hat die Vorinstanz bloss über eine psychologische Begleitung von E.A.________ entschieden, jedoch zum vorneherein nicht über ein Besuchsrecht.</w:t>
      </w:r>
    </w:p>
    <w:p>
      <w:r>
        <w:t>Damit gehen die von der Beschwerdeführerin vorgetragenen Argumente an der Sache vorbei, richten sich diese doch grundsätzlich nicht gegen eine psychologische Betreuung der Tochter. Die Beschwerdeführerin begründet vielmehr, weshalb aus ihrer Sicht eine Wiederaufnahme des Kontakts zwischen der betroffenen Tochter und dem Vater nicht ins Auge gefasst werden dürfte. Eine Wiederaufnahme des Kontakts war, wie ausgeführt, indes nicht Gegenstand des angefochtenen Entscheids. Die psychologische Begleitung legt bestenfalls die Grundlage dafür, dass es später wieder einmal zu einem Vater-Tochter-Kontakt kommen könnte. Sich gegen die angeordnete Massnahme auszusprechen, käme nur dann in Frage, wenn eine solche spätere Kontaktaufnahme zum vorneherein als unmöglich oder unzumutbar erscheinen würde. Davon kann aufgrund des willkürfrei festgestellten Sachverhalts (vgl. E. 2) im vorliegenden Fall aber keine Rede sein. Den Kontaktabbruch mit Übergriffen des Vaters auf die beiden älteren Schwestern zu rechtfertigen, reicht als Begründung nicht aus. Mit einer Banalisierung dieser Übergriffe, die im Übrigen nicht Gegenstand dieses Verfahrens sind, durch die Vorinstanz oder durch eine andere Behörde hat dies nichts zu tun.</w:t>
      </w:r>
    </w:p>
    <w:p>
      <w:r>
        <w:rPr>
          <w:b/>
        </w:rPr>
        <w:t>E. 4</w:t>
      </w:r>
    </w:p>
    <w:p>
      <w:r>
        <w:t>Aufgrund des Gesagten ist die Beschwerde abzuweisen, soweit darauf einzutreten ist. Die Beschwerdeführerin wird damit grundsätzlich kostenpflichtig. Wegen der besonderen Umstände des Falls verzichtet das Bundesgericht darauf, Gerichtskosten zu erheben ( Art. 66 Abs. 1 BGG ). Der KESB U.________ kommt als verfügende Behörde im Verfahren vor Bundesgericht keine Parteistellung zu; ihr ist auch keine Parteientschädigung geschuldet ( Art. 68 Abs. 3 BGG ). Nachdem auf das Einholen von Vernehmlassungen verzichtet worden ist (s. Sachverhalt Bst. E), ist auch B.A.________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