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410/2017 vom 4. Mai 2018</w:t>
      </w:r>
    </w:p>
    <w:p>
      <w:r>
        <w:t>Bundesgericht, 2018-05-04, DE</w:t>
      </w:r>
    </w:p>
    <w:p>
      <w:r>
        <w:rPr>
          <w:b/>
        </w:rPr>
        <w:t xml:space="preserve">Quelle: </w:t>
      </w:r>
      <w:r>
        <w:t>https://mcp.opencaselaw.ch/entscheid/bger_5A_410_2017</w:t>
      </w:r>
    </w:p>
    <w:p>
      <w:r>
        <w:t>FR: TF 5A 410/2017 du 4 mai 2018</w:t>
      </w:r>
    </w:p>
    <w:p>
      <w:r>
        <w:t>IT: TF 5A 410/2017 del 4 maggio 2018</w:t>
      </w:r>
    </w:p>
    <w:p>
      <w:pPr>
        <w:pStyle w:val="Heading2"/>
      </w:pPr>
      <w:r>
        <w:t>Regeste</w:t>
      </w:r>
    </w:p>
    <w:p>
      <w:r>
        <w:t>Erwachsenenschutz (Mandatsvereinbarung) | Familienrecht</w:t>
      </w:r>
    </w:p>
    <w:p>
      <w:pPr>
        <w:pStyle w:val="Heading2"/>
      </w:pPr>
      <w:r>
        <w:t>Erwägungen</w:t>
      </w:r>
    </w:p>
    <w:p>
      <w:r>
        <w:rPr>
          <w:b/>
        </w:rPr>
        <w:t>E. 1.1</w:t>
      </w:r>
    </w:p>
    <w:p>
      <w:r>
        <w:t>Entschieden hat vorliegend das Verwaltungsgericht als letzte kantonale Instanz ( Art. 75 Abs. 1 BGG ). Die Beschwerde nach Art. 72 ff. BGG ist nicht nur gegen Urteile in Zivilsachen zulässig, sondern auch gegen öffentlich-rechtliche Entscheide, die in unmittelbarem Zusammenhang mit Zivilrecht stehen, insbesondere gegen Entscheide auf dem Gebiet des Kindes- und Erwachsenenschutzes (Art. 72 Abs. 2 Bst. b Ziff. 6 BGG).</w:t>
      </w:r>
    </w:p>
    <w:p>
      <w:r>
        <w:rPr>
          <w:b/>
        </w:rPr>
        <w:t>E. 1.2</w:t>
      </w:r>
    </w:p>
    <w:p>
      <w:r>
        <w:t>Mit Beschwerde in Zivilsachen kann die Verletzung von Bundesrecht gerügt werden (Art. 95 Bst. a BGG).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 BGE 141 III 426 E. 2.4 mit Hinweisen).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142 III 364 E. 2.4 mit Hinweisen).</w:t>
      </w:r>
    </w:p>
    <w:p>
      <w:r>
        <w:rPr>
          <w:b/>
        </w:rPr>
        <w:t>E. 1.3</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140 III 264 E. 2.3 mit Hinweis), oder würden auf einer anderen Rechtsverletzung im Sinne von Art. 95 BGG (z.B. Art. 29 Abs. 2 BV oder Art. 8 ZGB ) beruhen (Urteil 5A_182/2017 vom 2. Februar 2018 E. 2). Überdies muss die Behebung des Mangels für den Ausgang des Verfahrens entscheidend sein ( Art. 97 Abs. 1 BGG ). Die Beschwerdeführerin, welche die Sachverhaltsfeststellung der Vorinstanz anfechten will, muss klar und substantiiert aufzeigen, inwiefern diese Voraussetzungen erfüllt sein sollen (vgl. BGE 136 II 508 E. 1.2; 133 II 249 E. 1.4.3). Demgegenüber genügt es nicht, einzelne Beweise anzuführen, die anders als im angefochtenen Entscheid gewichtet werden sollen, und dem Bundesgericht in appellatorischer Kritik die eigene Auffassung zu unterbreiten, als ob diesem eine freie Sachverhaltsprüfung zukäme (vgl. BGE 135 II 356 E. 4.2.1 mit Hinweis). Ebenfalls genügt es nicht, allgemein auf die kantonalen Akten zu verweisen. Vielmehr muss das Aktenstück, dessen willkürliche Würdigung geltend gemacht wird, genau bezeichnet werden (vgl. Urteil 5A_611/2017 vom 31. Januar 2018 E. 6.2). Entsprechend ist vorliegend auf die Beschwerde nicht einzutreten, soweit bloss in allgemeiner Weise und mit einem allgemeinen Hinweis auf die Akten die Feststellungen der Vorinstanz gerügt oder die Würdigung bestimmter Beweismittel in allgemeiner Weise kritisiert werden.</w:t>
      </w:r>
    </w:p>
    <w:p>
      <w:r>
        <w:rPr>
          <w:b/>
        </w:rPr>
        <w:t>E. 1.4</w:t>
      </w:r>
    </w:p>
    <w:p>
      <w:r>
        <w:t>Der Gegenstand des Verfahrens wird durch die Anträge der Beschwerdeführerin im kantonalen Verfahren beschränkt ( BGE 142 I 155 E. 4.4.2 S. 156 mit Hinweisen). Gegenstand des Verfahrens vor Bundesgericht kann nur sein, was auch Gegenstand des kantonalen Verfahrens war. Ausgangspunkt der vorliegenden Beschwerde bildet das Verfahren, welches die Beschwerdeführerin durch ihr Gesuch vom 26. September 2016 an die KESB eingeleitet hat. In diesem Gesuch stellte sie als Hauptantrag, die KESB solle über ihr Gesuch um Genehmigung des Privatmandats vom 22. März 2011 formell beschliessen. Als Eventualantrag verlangte sie, es sei festzustellen, dass die Zustimmung zum ergänzenden Privatmandat für den Zeitraum vom 17. September 2007/ 1. Februar 2008 bis 31. Mai 2011 bereits erfolgt sei. Mit keinem Wort beantragt sie die Behandlung eines möglichen Gesuchs vom 7. August 2008. Ein solches Gesuch kann folglich auch nicht Gegenstand des vorliegenden Verfahrens sein. Soweit die Beschwerdeführerin nunmehr geltend macht, die KESB hätte auf dieses Gesuch eintreten müssen (Beschwerdeschrift, Ziff. 18d S. 11), ist sie nicht zu hören.</w:t>
      </w:r>
    </w:p>
    <w:p>
      <w:r>
        <w:rPr>
          <w:b/>
        </w:rPr>
        <w:t>E. 2.1</w:t>
      </w:r>
    </w:p>
    <w:p>
      <w:r>
        <w:t>Das Verwaltungsgericht hat das Nichteintreten der KESB auf den Hauptantrag der Beschwerdeführerin, nämlich formell festzustellen, dass der Mandatsvertrag nicht der Zustimmung bedürfe, in erster Linie deshalb geschützt, weil der entsprechende Antrag erst unmittelbar vor der Amtsenthebung der Beirätin gestellt und zudem der unterschriebene Mandatsvertrag erst viel später eingereicht worden sei (angefochtenes Urteil, E. 3). Überdies habe zwischen der Beirätin und der verbeirateten Person gar kein Mandatsvertrag gültig abgeschlossen werden können, weil es dieser an der Urteilsfähigkeit gefehlt habe und jene in einem Interessenkonflikt gewesen sei. Es habe folglich gar kein genehmigungsfähiges Rechtsgeschäft vorgelegen (angefochtenes Urteil, E. 4). Die Beschwerdeführerin scheint dem entgegenhalten zu wollen, dass der Mandatsvertrag schon viel früher abgeschlossen worden sei und sie das Gesuch um Genehmigung schon im April 2008 gestellt habe (Beschwerdeschrift, Ziff. 18 Bst. a-c S. 8 ff.). Auch wenn man nur auf das Gesuch vom 22. März 2011 und das erst spätere Vorlegen des unterzeichneten Mandatsvertrages abstellen wolle, sei es überspitzt formalistisch, mit der inzwischen erfolgten Amtsenthebung zu argumentieren (Beschwerdeschrift, Ziff. 18 Bst. d S. 10 f.).</w:t>
      </w:r>
    </w:p>
    <w:p>
      <w:r>
        <w:rPr>
          <w:b/>
        </w:rPr>
        <w:t>E. 2.2.1</w:t>
      </w:r>
    </w:p>
    <w:p>
      <w:r>
        <w:t>Damit verkennt die Beschwerdeführerin in erster Linie, dass es vorliegend um ihr Gesuch vom 22. März 2011 und nicht um irgendein früher eingeleitetes Verfahren geht. Der Hauptantrag der Beschwerdeführerin vor erster Instanz bezieht sich auf dieses Gesuch und auf nichts anderes. Für ein Eintreten auf ihren Hauptantrag kann daher nur der Zeitpunkt der Einreichung dieses Gesuchs massgebend sein, nicht aber irgendein früheres Gesuch. Von der juristisch geschulten Beschwerdeführerin kann erwartet werden, dass sie das Rechtsbegehren in ihrem Gesuch genau formuliert; ein Abstellen auf dessen Wortlaut ist kein überspitzter Formalismus.</w:t>
      </w:r>
    </w:p>
    <w:p>
      <w:r>
        <w:rPr>
          <w:b/>
        </w:rPr>
        <w:t>E. 2.2.2</w:t>
      </w:r>
    </w:p>
    <w:p>
      <w:r>
        <w:t>Gemäss aArt. 422 Ziff. 7 ZGB bedurften Verträge zwischen Mündel und Vormund der Zustimmung der vormundschaftlichen Aufsichtsbehörde. Ob diese Bestimmung auch auf die Mitwirkungsbeiratschaft anwendbar war, beurteilte die Lehre unterschiedlich (vgl. DESCHENAUX/STEINAUER, Personnes physiques et tutelle, 4. Aufl. 2001, Rz. 1152a; GEISER, in: Basler Kommentar, Zivilgesetzbuch, 4. Aufl. 2010, N. 9 zu Art. 421/422 ZGB; SCHNYDER/MURER, Berner Kommentar, 3. Aufl. 1984, N. 105 ff. zu Art. 395 ZGB ). Demgegenüber waren sich Lehre und Rechtsprechung einig, dass die Regeln über die Mitwirkung der Behörden bei der Vormundschaft grundsätzlich auch bei der Verwaltungsbeiratschaft zur Anwendung gelangten ( BGE 85 II 464 E. 2; DESCHENAUX/STEINAUER, a.a.O., Rz. 1154; GEISER, a.a.O., N. 8 zu Art. 421/422 ZGB; RIEMER, Grundriss des Vormundschaftsrechts, 2. Aufl. 1997, § 5 Rz. 48). Da es vorliegend um eine Beiratschaft nach aArt. 395 ZGB - sowohl nach Abs. 1 wie auch Abs. 2 - geht, steht das Erfordernis der Zustimmung entgegen der Auffassung der Beschwerdeführerin grundsätzlich ausser Zweifel. Ebenfalls klar ist, dass das Gesuch um Genehmigung bei der Vormundschaftsbehörde und nicht direkt bei der Aufsichtsbehörde zu stellen war, weil Letztere gemäss dem Wortlaut von aArt. 422 ZGB auf Antrag der Ersteren zu entscheiden hatte. Die Vormundschaftsbehörde hatte grundsätzlich erst nach Vorlage des von den Parteien unterzeichneten Vertrages zu entscheiden, auch wenn selbstverständlich der Vormund bzw. der Verwaltungsbeistand das Geschäft der Behörde zur Vorprüfung vor Abschluss unterbreiten konnte (GEISER, a.a.O., N. 3 und 36 zu Art. 421/422 ZGB). Die Meinungsäusserung in einem Vorprüfungsverfahren war dann allerdings für die Behörde im Genehmigungsverfahren nicht verbindlich (GEISER, a.a.O., N. 36 zu Art. 421/422 ZGB). Vorliegend hatte die Beschwerdeführerin mit ihrer Eingabe vom 22. März 2011 der Vormundschaftsbehörde nur einen Entwurf des Mandatsvertrages eingereicht. Letztere war folglich zu Recht vorerst nicht darauf eingetreten. Es entsprach der anerkannten Praxis, über den Antrag an die Aufsichtsbehörde auf Zustimmung oder Verweigerung der Zustimmung erst zu entscheiden, wenn der unterschriebene Vertrag vorliegt. Dieser wurde der Vormundschaftsbehörde dann aber erst am 15. Juni 2011 und damit nach der Amtsenthebung der Beirätin am 31. Mai 2011 eingereicht. In diesem Zeitpunkt stand die Genehmigung nicht mehr zur Diskussion. Es handelte sich nicht mehr um ein Rechtsgeschäft zwischen Beirat und verbeirateter Person. Die KESB ist somit zu Recht nicht auf den Hauptantrag der Beschwerdeführerin eingetreten. Daran mag auch der Umstand nichts zu ändern, dass die Beirätin gegen die Amtsenthebung durch den Regierungsrat Beschwerde erhoben hatte und das Verwaltungsgericht die Beschwerde erst am 25. Oktober 2012 abwies. Die Beschwerde hatte keine aufschiebende Wirkung, so dass das Amt der Beschwerdeführerin bereits mit dem Entscheid des Regierungsrates und damit vor Einreichung des unterschriebenen Mandatsvertrages rechtlich und tatsächlich erloschen war.</w:t>
      </w:r>
    </w:p>
    <w:p>
      <w:r>
        <w:rPr>
          <w:b/>
        </w:rPr>
        <w:t>E. 3</w:t>
      </w:r>
    </w:p>
    <w:p>
      <w:r>
        <w:t>Auch auf den Eventualantrag, es sei festzustellen, dass die Genehmigung bereits erfolgt sei, ist die KESB zu Recht nicht eingetreten. Die Genehmigung durch die Aufsichtsbehörde ist für den Mandatsvertrag Gültigkeitserfordernis. Für die Beurteilung der Gültigkeit eines Mandatsvertrages sind aber die Zivilgerichte zuständig und nicht die Vormundschaftsbehörde. Ob der Mandatsvertrag gültig abgeschlossen worden ist oder nicht, hat damit gegebenenfalls ein Zivilgericht verbindlich zu entscheiden und nicht die Kindes- und Erwachsenenschutzbehörde.</w:t>
      </w:r>
    </w:p>
    <w:p>
      <w:r>
        <w:rPr>
          <w:b/>
        </w:rPr>
        <w:t>E. 4</w:t>
      </w:r>
    </w:p>
    <w:p>
      <w:r>
        <w:t>Es erweist sich somit, dass die KESB zu Recht nicht auf die Begehren der Beschwerdeführerin eingetreten war und damit die Vorinstanz zu Recht das Rechtsmittel abgewiesen hat. Die von der Beschwerdeführerin eventualiter für den Fall, dass das Bundesgericht die Beschwerde gutheisse und die Sache selber beurteile, aufgeworfenen materiellrechtlichen Fragen sind damit nicht zu behandeln.</w:t>
      </w:r>
    </w:p>
    <w:p>
      <w:r>
        <w:rPr>
          <w:b/>
        </w:rPr>
        <w:t>E. 5</w:t>
      </w:r>
    </w:p>
    <w:p>
      <w:r>
        <w:t>Gemäss dem Ausgang des Verfahrens hat die Beschwerdeführerin die Verfahrenskosten zu tragen ( Art. 66 Abs. 1 BGG ). Beschwerdeantworten sind keine eingeholt worden, so dass auch keine Kosten entstanden sind, die zu entschädigen wären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