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410/2008 vom 9. September 2008</w:t>
      </w:r>
    </w:p>
    <w:p>
      <w:r>
        <w:t>Bundesgericht, 2008-09-09, FR</w:t>
      </w:r>
    </w:p>
    <w:p>
      <w:r>
        <w:rPr>
          <w:b/>
        </w:rPr>
        <w:t xml:space="preserve">Quelle: </w:t>
      </w:r>
      <w:r>
        <w:t>https://mcp.opencaselaw.ch/entscheid/bger_5A_410_2008</w:t>
      </w:r>
    </w:p>
    <w:p>
      <w:r>
        <w:t>FR: TF 5A 410/2008 du 9 septembre 2008</w:t>
      </w:r>
    </w:p>
    <w:p>
      <w:r>
        <w:t>IT: TF 5A 410/2008 del 9 settembre 2008</w:t>
      </w:r>
    </w:p>
    <w:p>
      <w:pPr>
        <w:pStyle w:val="Heading2"/>
      </w:pPr>
      <w:r>
        <w:t>Regeste</w:t>
      </w:r>
    </w:p>
    <w:p>
      <w:r>
        <w:t>passage nécessaire | Droits réels</w:t>
      </w:r>
    </w:p>
    <w:p>
      <w:pPr>
        <w:pStyle w:val="Heading2"/>
      </w:pPr>
      <w:r>
        <w:t>Erwägungen</w:t>
      </w:r>
    </w:p>
    <w:p>
      <w:r>
        <w:rPr>
          <w:b/>
        </w:rPr>
        <w:t>E. 1.1</w:t>
      </w:r>
    </w:p>
    <w:p>
      <w:r>
        <w:t>Le jugement attaqué tranche une contestation civile portant sur l'inscription d'une servitude de passage à pieds et à véhicules à moteur au sens de l' art. 694 CC , à savoir sur un droit de nature pécuniaire ( ATF 92 II 62 ; 80 II 311 consid.1; 5C.302/2006 du 20 septembre 2007 consid. 2 non publié in ATF 134 III 49 ; 5C.246/2004 du 2 mars 2005 du 2 mars 2005 consid. 1 non publié in JdT 2005 I 140). Le recours en matière civile n'est ouvert que si la valeur litigieuse minimale fixée par la loi, en l'espèce 30'000 fr., est atteinte ( art. 74 al. 1 let. b LTF ). C'est le montant encore litigieux devant la dernière instance cantonale qui est déterminant ( art. 51 al. 1 let. a LTF ). L'autorité cantonale de dernière instance doit mentionner la valeur litigieuse dans son arrêt ( art. 112 al. 1 let . d LTF). Néanmoins, si les conclusions ne tendent pas au paiement d'une somme d'argent déterminée, le Tribunal fédéral fixe la valeur litigieuse selon son appréciation ( art. 51 al. 2 LTF ). Il n'est lié pour cela ni par l'estimation de la partie recourante ou un accord des parties ( ATF 109 II 491 consid. 1c/ee), ni par une estimation manifestement erronée de l'autorité cantonale. En l'espèce, la cour cantonale a retenu une valeur litigieuse de 40'000 fr. La procédure ne contenant aucun indice permettant de mettre en doute cette valeur, celle-ci sera considérée comme déterminante, de sorte qu'il y a lieu de retenir que le seuil de la valeur litigieuse est atteint. Pour ce qui est des autres conditions de recevabilité, le présent recours a été interjeté dans le délai ( art. 100 al. 1 LTF ) et la forme ( art. 42 LTF ) prévus par la loi par une partie qui a succombé dans ses conclusions prises devant l'autorité précédente ( art. 76 al. 1 LTF ). Il est dirigé contre une décision finale ( art. 90 LTF ) rendue en matière civile ( art. 72 al. 1 LTF ) par une autorité cantonale de dernière instance ( art. 75 al. 1 LTF ). Par conséquent, il est recevable.</w:t>
      </w:r>
    </w:p>
    <w:p>
      <w:r>
        <w:rPr>
          <w:b/>
        </w:rPr>
        <w:t>E. 1.2</w:t>
      </w:r>
    </w:p>
    <w:p>
      <w:r>
        <w:t>Le recourant méconnaît que le choix entre la voie du recours en matière civile et celle du recours constitutionnel subsidiaire dépend de la nature de l'affaire et, si elle est pécuniaire, de la valeur litigieuse ( ATF 133 III 446 consid. 3.1), ainsi que, exceptionnellement, de l'existence d'une question juridique de principe ( art. 74 al. 2 let. a LTF ). Le grief d'arbitraire dans l'appréciation des preuves ( art. 9 Cst. ) sera donc traité dans le recours en matière civile, dont les conditions de recevabilité sont, comme on vient de le voir (consid. 1.1), remplies en l'espèce.</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 249 consid. 1.4.1; 130 III 136 consid. 1.4 in fine, 297 consid. 3.1). Compte tenu de l'exigence de motivation contenue à l' art. 42 al. 1 et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134 III 102 consid. 1.1;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133 III 393 consid. 6 p. 397).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130 III 138 consid. 1.4 p. 140). Les faits nouveaux et les preuves nouvelles sont prohibés à moins de résulter de la décision de l'autorité précédente ( art. 99 al. 1 LTF ). De jurisprudence constante, le Tribunal fédéral se montre réservé en matière de constatation des faits et d'appréciation des preuves, vu le large pouvoir qu'il reconnaît en ce domaine aux juridictions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 cf. aussi ATF 133 II 249 consid. 1.4.3 p. 254/255).</w:t>
      </w:r>
    </w:p>
    <w:p>
      <w:r>
        <w:rPr>
          <w:b/>
        </w:rPr>
        <w:t>E. 3</w:t>
      </w:r>
    </w:p>
    <w:p>
      <w:r>
        <w:t>Dans une formulation peu claire en relation avec le grief d'arbitraire, on peut comprendre que le recourant reproche à l'autorité cantonale de ne pas avoir retenu qu'il avait été convenu avec le précédent propriétaire de la parcelle 7820 que la servitude de passage profiterait également à la parcelle 7014 et que ce n'était qu'à la suite d'une négligence du notaire que cette servitude n'avait pas fait l'objet d'un acte inscrit au registre foncier. Autant que le recourant se réfère à des faits qui ne ressortent pas de l'arrêt entrepris, sans formuler à cet égard une critique motivée conformément aux exigences, son grief est irrecevable.</w:t>
      </w:r>
    </w:p>
    <w:p>
      <w:r>
        <w:rPr>
          <w:b/>
        </w:rPr>
        <w:t>E. 4</w:t>
      </w:r>
    </w:p>
    <w:p>
      <w:r>
        <w:t>Le recourant reproche à la cour cantonale d'avoir violé l' art. 694 CC en retenant que l'accès à sa parcelle 10766 est suffisant dès lors qu'il peut se faire par la parcelle 10765.</w:t>
      </w:r>
    </w:p>
    <w:p>
      <w:r>
        <w:rPr>
          <w:b/>
        </w:rPr>
        <w:t>E. 4.1</w:t>
      </w:r>
    </w:p>
    <w:p>
      <w:r>
        <w:t>Aux termes de l' art. 694 CC , le propriétaire qui n'a qu'une issue insuffisante sur la voie publique peut exiger de ses voisins qu'ils lui cèdent le passage nécessaire, moyennant pleine indemnité (al. 1); ce droit s'exerce en premier lieu contre le voisin à qui le passage peut être le plus naturellement réclamé en raison de l'état antérieur des propriétés et des voies d'accès, et, au besoin, contre celui sur le fonds duquel le passage est le moins dommageable (al. 2); le passage nécessaire sera fixé en ayant égard aux intérêts des deux parties (al. 3). Dans une jurisprudence constante, le Tribunal fédéral a fait dépendre l'octroi d'un passage nécessaire de conditions très strictes. De la genèse de l' art. 694 CC , il a déduit que le droit de passage - fondé sur le droit de voisinage -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 ATF 120 II 185 consid. 2a; 117 II 35 consid. 2; 110 II 126 consid. 4; 105 II 178 consid. 3b et les références citées). La simple opportunité d'améliorer une voie d'accès existante, mais qui n'est pas absolument satisfaisante, ne fonde pas le droit au passage nécessaire ( ATF 105 II 178 consid. 3b; 85 II 392 consid. 1b; 80 II 311 consid. 2 p. 317 et les références), pas plus que la simple commodité personnelle du propriétaire ( ATF 84 II 614 consid. 3 p. 691/620; 93 II 167 consid. 2; 5C.327/2001 du 21 mars 2002 consid. 3a). Un accès ne fait pas totalement défaut lorsque le propriétaire du fonds dispose d'un droit de servitude sur un fonds voisin ou d'un droit personnel d'utilisation sur celui-ci et qu'il peut l'utiliser, le cas échéant, en l'aménageant sans frais disproportionnés (arrêt 5C.40/2006 du 18 avril 2006 consid. 3.1 et les références). Le Tribunal fédéral a admis qu'un propriétaire ne saurait réclamer de passage lorsqu'il a lui-même causé l'état de nécessité, qu'il l'a toléré ou s'en est accommodé, ou encore lorsqu'il a adopté un comportement contraire au principe de la bonne foi, par exemple en supprimant un passage existant pour en obtenir un plus commode. Le refus du passage suppose donc que le propriétaire ait provoqué l'état de nécessité en agissant de façon délibérée. Tel n'est pas le cas lorsque, en aliénant un immeuble ou une partie de celui-ci, le propriétaire oublie de se constituer une servitude de passage sur la parcelle aliénée et que son fonds se trouve ainsi privé de liaison avec la voie publique ( ATF 134 III 49 consid. 4.1 et les références).</w:t>
      </w:r>
    </w:p>
    <w:p>
      <w:r>
        <w:rPr>
          <w:b/>
        </w:rPr>
        <w:t>E. 4.2</w:t>
      </w:r>
    </w:p>
    <w:p>
      <w:r>
        <w:t>Il ressort des faits retenus par l'autorité cantonale qu'à la suite du remaniement parcellaire auquel a procédé le recourant, la servitude de passage qui profitait à l'ancienne parcelle 2450 a été reportée sur le feuillet de la nouvelle parcelle 10766 conformément à l'art. 91 al. 3 de l'ordonnance sur le registre foncier (ORF; RS 211.432.1). Il en résulte que la parcelle 10766 dispose (toujours) d'un accès à la voie publique, soit la route M.________, par la servitude de passage grevant le fonds 7820, mais dans les limites de l'ancienne parcelle 2450. Dans son arrêt du 8 septembre 1999, la Cour cantonale avait du reste refusé d'ordonner la radiation de cette servitude, qu'elle avait au contraire aggravée en autorisant le passage des véhicules à moteur. Ultérieurement, dans ses décisions des 12 octobre 2001 et 14 mai 2004, l'autorité cantonale a refusé à l'ancien fonds 7014 le bénéfice de la servitude grevant le fonds 7820, au motif qu'il disposait déjà dans sa partie sud d'une issue sur la route C.________. De plus, le recourant était sommé de déplacer son portail sur 1m 20 pour éviter que l'accès au garage par ce portail n'empiète sur l'ancienne parcelle 7014, du fait qu'elle ne bénéficiait pas de la servitude profitant à l'ancienne parcelle 2450. Ainsi, la situation actuelle n'est pas différente de celle qui prévalait antérieurement et le recourant ne fait que redemander, de manière déguisée, ce qu'il requérait déjà en 2002, à savoir le déplacement du tracé et de l'assiette de la servitude en faveur de la portion de terrain de la parcelle 10766 correspondant à l'emplacement du portail de son garage de manière à ne pas avoir à déplacer celui-ci. Or, le remaniement parcellaire auquel a procédé le recourant en avril 2006 ne saurait avoir cette conséquence, aucun élément nouveau ne justifiant de changement au détriment de la parcelle 7820, la simple volonté du recourant d'obtenir un passage plus commode ne suffisant pas (cf. consid. 4.1 ci-dessus). Le rejet du recours s'imposant pour ce motif, il n'y pas lieu d'examiner l'argumentation du recourant selon laquelle la Cour de justice ne pouvait, sans violer le droit fédéral, considérer que l'accès à la parcelle 10766 devait se faire par la parcelle 10765 dans la mesure où il était constant que si la servitude litigieuse ne profitait que dans une mesure restreinte à la parcelle 10766, c'était à cause de la seule détermination du recourant, qui avait procédé à la division de l'ancienne parcelle 7014 pour élargir la parcelle 10766 nouvellement créée.</w:t>
      </w:r>
    </w:p>
    <w:p>
      <w:r>
        <w:rPr>
          <w:b/>
        </w:rPr>
        <w:t>E. 4.3</w:t>
      </w:r>
    </w:p>
    <w:p>
      <w:r>
        <w:t>Enfin, le recourant reproche à la cour cantonale de ne pas avoir retenu que l'intimé commettait un abus de droit en cherchant depuis douze ans à faire radier une servitude existante, et à en empêcher ou en limiter à l'excès l'exercice. En tant que le recourant se fonde sur des allégations relatives au comportement de l'intimé qui ne ressortent pas des constatations de l'arrêt cantonal, sa critique est irrecevable. Au demeurant, les modalités de l'exercice de la servitude ne sont pas l'objet du litige, qui est circonscrit à la seule question de l'inscription d'une servitude en faveur du fonds 10766.</w:t>
      </w:r>
    </w:p>
    <w:p>
      <w:r>
        <w:rPr>
          <w:b/>
        </w:rPr>
        <w:t>E. 5</w:t>
      </w:r>
    </w:p>
    <w:p>
      <w:r>
        <w:t>En conclusion, le recours doit être rejeté dans la mesure de sa recevabilité, par substitution de motifs (cf. consid. 2 et 4.2 ci-dessus). La charge des frais judiciaires incombe au recourant, qui succombe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