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5A_40/2021 vom 22. Dezember 2021</w:t>
      </w:r>
    </w:p>
    <w:p>
      <w:r>
        <w:t>Bundesgericht, 2021-12-22, DE</w:t>
      </w:r>
    </w:p>
    <w:p>
      <w:r>
        <w:rPr>
          <w:b/>
        </w:rPr>
        <w:t xml:space="preserve">Quelle: </w:t>
      </w:r>
      <w:r>
        <w:t>https://mcp.opencaselaw.ch/entscheid/bger_5A_40_2021</w:t>
      </w:r>
    </w:p>
    <w:p>
      <w:r>
        <w:t>FR: TF 5A_40/2021 du 22 décembre 2021</w:t>
      </w:r>
    </w:p>
    <w:p>
      <w:r>
        <w:t>IT: TF 5A_40/2021 del 22 dicembre 2021</w:t>
      </w:r>
    </w:p>
    <w:p>
      <w:pPr>
        <w:pStyle w:val="Heading2"/>
      </w:pPr>
      <w:r>
        <w:t>Erwägungen</w:t>
      </w:r>
    </w:p>
    <w:p>
      <w:r>
        <w:rPr>
          <w:b/>
        </w:rPr>
        <w:t>E. 1</w:t>
      </w:r>
    </w:p>
    <w:p>
      <w:r>
        <w:t>Das Bundesgericht prüft von Amtes wegen und mit freier Kognition, ob auf eine Beschwerde eingetreten werden kann ( BGE 143 III 140 E. 1 mit Hinweisen).</w:t>
      </w:r>
    </w:p>
    <w:p>
      <w:r>
        <w:rPr>
          <w:b/>
        </w:rPr>
        <w:t>E. 1.1</w:t>
      </w:r>
    </w:p>
    <w:p>
      <w:r>
        <w:t>Gegen den angefochtenen Entscheid ist die Beschwerde in Zivilsachen grundsätzlich gegeben ( Art. 19 SchKG i.V.m. Art. 72 Abs. 2 lit. a und Art. 74 Abs. 2 lit. c BBG ).</w:t>
      </w:r>
    </w:p>
    <w:p>
      <w:r>
        <w:rPr>
          <w:b/>
        </w:rPr>
        <w:t>E. 1.2</w:t>
      </w:r>
    </w:p>
    <w:p>
      <w:r>
        <w:t>Zur Beschwerde ist nur berechtigt, wer am vorinstanzlichen Verfahren teilgenommen hat und durch den angefochtenen Entscheid besonders berührt ist und ein schutzwürdiges Interesse an dessen Aufhebung oder Änderung hat ( Art. 76 Abs. 1 lit. a und b BGG ). Ein solches besteht im konkreten Nutzen, den die Gutheissung der Anträge dem Beschwerdeführer bringen würde, indem ihm ein wirtschaftlicher, ideeller, materieller oder sonstiger Nachteil erspart bleibt, den der angefochtene Entscheid für ihn mit sich bringen würde ( BGE 138 III 537 E. 1.2.2 mit Hinweisen). Das praktische Interesse an der Gutheissung der Beschwerde muss auch im Urteilszeitpunkt noch gegeben sein ( BGE 143 III 578 E. 3.2.2.2 mit Hinweisen).</w:t>
      </w:r>
    </w:p>
    <w:p>
      <w:r>
        <w:rPr>
          <w:b/>
        </w:rPr>
        <w:t>E. 1.3</w:t>
      </w:r>
    </w:p>
    <w:p>
      <w:r>
        <w:t>Im vorliegenden Fall hat der Rechtsöffnungsrichter den Prozessparteien im Verlaufe des bundesgerichtlichen Verfahrens die Begründung seines Urteils zugestellt. Damit besteht kein Anlass mehr, über die Vollstreckbarkeit des Urteilsdispositivs und damit die Zulässigkeit der Pfändungsankündigung im jetzigen Zeitpunkt zu befinden. Dass die gerügte Rechtsverletzung sich jederzeit wiederholen könnte und eine rechtzeitige gerichtliche Überprüfung nicht möglich wäre (sog. virtuelles Interesse), ist nicht ersichtlich. Damit drängt sich der Verzicht auf das aktuelle Interesse vorliegend nicht auf ( BGE 143 III 578 E. 3.2.2.2). Hinzu kommt, dass sich der Gesetzgeber mit dieser Frage zu gegebener Zeit befassen wird. Es liegt bereits ein entsprechender Entwurf vor, der gemäss der Botschaft des Bundesrates bestehende Rechtsunsicherheiten beseitigen soll. Der neue Art. 336 Abs. 3 E-ZPO sieht die sofortige Vollstreckbarkeit des Dispositivs vor (Botschaft vom 26. Februar 2020 zur Änderung der Schweizerischen Zivilprozessordnung, BBl 2020 2774 f. und 2793).</w:t>
      </w:r>
    </w:p>
    <w:p>
      <w:r>
        <w:rPr>
          <w:b/>
        </w:rPr>
        <w:t>E. 2</w:t>
      </w:r>
    </w:p>
    <w:p>
      <w:r>
        <w:t>Nach dem Gesagten erweist sich die Beschwerde als gegenstandslos und wird abgeschrieben. Unter den gegebenen Umständen wird auf die Erhebung von Kosten verzichtet ( Art. 66 Abs. 1 BGG ). B.________ verlangt eine Parteientschädigung. Da er nicht anwaltlich vertreten ist, kommt eine solche grundsätzlich nicht in Betracht. Es liegen keine Umstände vor, um ausnahmsweise eine Umtriebsentschädigung zu 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