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5A_40/2013 vom 29. Oktober 2013</w:t>
      </w:r>
    </w:p>
    <w:p>
      <w:r>
        <w:t>Bundesgericht, 2013-10-29, FR</w:t>
      </w:r>
    </w:p>
    <w:p>
      <w:r>
        <w:rPr>
          <w:b/>
        </w:rPr>
        <w:t xml:space="preserve">Quelle: </w:t>
      </w:r>
      <w:r>
        <w:t>https://mcp.opencaselaw.ch/entscheid/bger_5A_40_2013</w:t>
      </w:r>
    </w:p>
    <w:p>
      <w:r>
        <w:t>FR: TF 5A_40/2013 du 29 octobre 2013</w:t>
      </w:r>
    </w:p>
    <w:p>
      <w:r>
        <w:t>IT: TF 5A_40/2013 del 29 ottobre 2013</w:t>
      </w:r>
    </w:p>
    <w:p>
      <w:pPr>
        <w:pStyle w:val="Heading2"/>
      </w:pPr>
      <w:r>
        <w:t>Erwägungen</w:t>
      </w:r>
    </w:p>
    <w:p>
      <w:r>
        <w:rPr>
          <w:b/>
        </w:rPr>
        <w:t>E. 1.1</w:t>
      </w:r>
    </w:p>
    <w:p>
      <w:r>
        <w:t>Le recours a été déposé en temps utile (art. 45 al. 1, 46 al. 1 let. c et 100 al. 1 LTF) à l'encontre d'une décision finale ( art. 90 LTF ; ATF 134 III 115 consid. 1.1 p. 117) rendue en matière de poursuite pour dettes ( art. 72 al. 2 let. a LTF , en relation avec l' art. 82 LP ) par le tribunal supérieur d'un canton ayant statué sur recours ( art. 75 al. 1 et 2 LTF ); la valeur litigieuse est atteinte ( art. 74 al. 1 let. b LTF ); la poursuivante, qui a succombé devant la juridiction précédente, a qualité pour recourir ( art. 76 al. 1 LTF ).</w:t>
      </w:r>
    </w:p>
    <w:p>
      <w:r>
        <w:rPr>
          <w:b/>
        </w:rPr>
        <w:t>E. 1.2</w:t>
      </w:r>
    </w:p>
    <w:p>
      <w:r>
        <w:t>La décision attaquée ne porte pas sur des mesures provisionnelles au sens de l' art. 98 LTF , en sorte que la cognition du Tribunal fédéral n'est pas restreinte à la violation des droits constitutionnels ( ATF 133 III 399 consid. 1.5 p. 400; 135 III 670 consid. 1.3.1 p. 673).</w:t>
      </w:r>
    </w:p>
    <w:p>
      <w:r>
        <w:rPr>
          <w:b/>
        </w:rPr>
        <w:t>E. 2</w:t>
      </w:r>
    </w:p>
    <w:p>
      <w:r>
        <w:t>Selon la recourante, le juge cantonal ne pouvait se passer d'examiner si elle avait ou non les pouvoirs d'engager valablement l'hoirie X.________, motif pris que cette question n'aurait été pertinente que si la poursuite avait été dirigée à l'encontre de la communauté. Elle soutient que le document manuscrit du 24 septembre 2004 ne saurait constituer une reconnaissance de dette au sens de l' art. 82 al. 1 LP pouvant valablement l'engager à titre d'héritière tenue solidairement et personnellement des dettes du de cujus, dès lors qu'il n'a pas été signé par l'ensemble des membres de l'hoirie, lesquels ne l'auraient par ailleurs pas autorisée à reconnaître une telle dette.</w:t>
      </w:r>
    </w:p>
    <w:p>
      <w:r>
        <w:rPr>
          <w:b/>
        </w:rPr>
        <w:t>E. 2.1</w:t>
      </w:r>
    </w:p>
    <w:p>
      <w:r>
        <w:t>Partant du principe selon lequel la recourante était actionnée en tant qu'héritière tenue personnellement et solidairement des dettes du de cujus, l'autorité cantonale a jugé qu'il n'était pas nécessaire d'examiner si la poursuivie avait ou non les pouvoirs d'engager valablement l'hoirie, cette question n'ayant de pertinence que si la poursuite avait été dirigée à l'encontre de la communauté héréditaire.</w:t>
      </w:r>
    </w:p>
    <w:p>
      <w:r>
        <w:rPr>
          <w:b/>
        </w:rPr>
        <w:t>E. 2.2</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La procédure de mainlevée provisoire, comme la procédure de mainlevée définitive,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déduite en poursuite - et lui attribue force exécutoire si le débiteur ne rend pas immédiatement vraisemblable ses moyens libératoires ( ATF 132 III 140 consid. 4.1.1 p. 142 et la jurisprudence citée).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5A_236/2013 du 12 août 2013, destiné à la publication, consid. 4.1.1 et les références).</w:t>
      </w:r>
    </w:p>
    <w:p>
      <w:r>
        <w:rPr>
          <w:b/>
        </w:rPr>
        <w:t>E. 2.3</w:t>
      </w:r>
    </w:p>
    <w:p>
      <w:r>
        <w:t>En l'espèce, le document litigieux établi le 24 septembre 2004 consiste en la reconnaissance par " Mme B.X.________ et famille " d'une dette de deux millions et demi de dollars USD. Il a été rédigé à la première personne du pluriel (" nous ") par la prénommée qui l'a signé en son nom et au nom de sa famille (" Mme B.X.________ et famille "), afin de régler " toutes obligations " entre les parties, " ce qui n'a[vait] pu être fait plus tôt en raison du décès de [leur] bien-aimé mari et père". Il n'est pas contesté qu'il s'agit là de la reconnaissance post mortem d'une dette du de cujus qui était en relation d'affaires avec le créancier désigné.</w:t>
      </w:r>
    </w:p>
    <w:p>
      <w:r>
        <w:t>Ainsi que l'a relevé à juste titre le juge cantonal, une dette contractée avant le décès du de cujus peut être reconnue après, au nom des héritiers ( LAYDU MOLINARI, La poursuite pour les dettes successorales, thèse Lausanne, 1999, p. 206). Une telle reconnaissance constitue toutefois un acte générateur d'obligations qui doit émaner de tous les membres de la communauté ou d'un représentant autorisé (art. 653 al. 2 et 602 al. 2 CC; PAUL-HENRI STEINAUER, Le droit des successions, 2006, n</w:t>
      </w:r>
    </w:p>
    <w:p>
      <w:r>
        <w:t>os 1217 et 1217a; MEIER-HAYOZ, Berner Kommentar, n</w:t>
      </w:r>
    </w:p>
    <w:p>
      <w:r>
        <w:t>o</w:t>
      </w:r>
    </w:p>
    <w:p>
      <w:r>
        <w:rPr>
          <w:b/>
        </w:rPr>
        <w:t>E. 2.4</w:t>
      </w:r>
    </w:p>
    <w:p>
      <w:r>
        <w:t>Certes, il n'appartient pas au juge de la mainlevée d'examiner la réalité de la dette contractée par le de cujus, dès lors qu'il doit se borner, à ce stade, à examiner l'existence et la force probante du titre produit par le créancier. Il lui incombe en revanche de vérifier l'existence matérielle de la reconnaissance de dette ( GILLIÉRON, op. cit., n° 73 ad art. 82 LP ). Il doit ainsi contrôler si elle émane de tous les membres de l'hoirie. Ce n'est en effet que si la reconnaissance de dette est valablement souscrite par l'ensemble des héritiers qu'elle justifie la mainlevée contre chacun des membres de la communauté héréditaire poursuivi en sa qualité d'héritier tenu personnellement ( art. 560 al. 2 CC ) et solidairement ( art. 603 al. 1 CC ; implicitement: arrêt 5P.107/1998 du 3 juin 1988; sur la portée de cette responsabilité: STEINAUER, op. cit., n</w:t>
      </w:r>
    </w:p>
    <w:p>
      <w:r>
        <w:t>o 37 p. 58). Il appartient au créancier d'établir que l'héritier qui a signé seul la reconnaissance de dette avait les pouvoirs de le faire ( STAEHELIN, Basler Kommentar, n</w:t>
      </w:r>
    </w:p>
    <w:p>
      <w:r>
        <w:t>o 57 ad art. 82 LP ; ATF 130 III 87 consid. 3.1 p. 88 qui impose la preuve par pièces si les pouvoirs du représentant signataire sont contestés par le poursuivi).</w:t>
      </w:r>
    </w:p>
    <w:p>
      <w:r>
        <w:rPr>
          <w:b/>
        </w:rPr>
        <w:t>E. 2.5</w:t>
      </w:r>
    </w:p>
    <w:p>
      <w:r>
        <w:t>En l'espèce, il résulte des termes mêmes du document produit (cf. en particulier: " Mme B.X.________ et famille ", " notre bien-aimé mari et père ") que les héritiers formant l'hoirie X.________ sont le débiteur désigné. Si la recourante y reconnaît devoir un certain montant, elle l'a fait, non à titre personnel, mais, en sa qualité d'héritière, au nom de l'ensemble des héritiers. Or, comme il a été dit (supra, consid. 2.3), la responsabilité solidaire et personnelle de chacun des héritiers, dont fait partie la recourante, n'est engagée que si la reconnaissance de dette a été valablement souscrite par l'ensemble des héritiers ou par leur représentant autorisé. Dans ces conditions, l'autorité cantonale ne pouvait, sans violer le droit fédéral, se passer d'analyser si la recourante avait, en l'espèce, les pouvoirs de passer un tel engagement au nom des héritiers.</w:t>
      </w:r>
    </w:p>
    <w:p>
      <w:r>
        <w:t>3.</w:t>
      </w:r>
    </w:p>
    <w:p>
      <w:r>
        <w:t>Cela étant, le recours doit être admis, l'arrêt attaqué annulé et la cause renvoyée au juge cantonal pour nouvelle décision dans le sens des considérants. L'intimé, qui, en sa qualité d'exécuteur testamentaire de la succession Y.________, a la capacité de faire valoir en justice en son propre nom le droit d'un tiers (Prozessstandschaft; ATF 116 II 131 ), doit être considéré comme celui qui succombe. Les frais et dépens de la procédure doivent ainsi être mis à sa charge (art. 66 al. 1 et 68 al. 1 et 2 LTF), mais ils seront payés par la succession pour laquelle il agit (cf. arrêts 5A_261/2008 du 10 juin 2008 consid. 7 et C.245/1984 du 3 octobre 1984 consid. 5).</w:t>
      </w:r>
    </w:p>
    <w:p>
      <w:r>
        <w:rPr>
          <w:b/>
        </w:rPr>
        <w:t>E. 7</w:t>
      </w:r>
    </w:p>
    <w:p>
      <w:r>
        <w:t>ad art. 653 CC ; PETER C. SCHAUFELBERGER, Basler Kommentar, Schweizerisches Zivilgesetzbuch II, 1998, n</w:t>
      </w:r>
    </w:p>
    <w:p>
      <w:r>
        <w:t>o 15 ad art. 602 CC ). Si elle est uniquement signée par un héritier non autorisé, elle n'engage pas les héritiers, sous réserve d'une éventuelle ratification, mais fonde, pour le partenaire contractuel, le droit de réclamer des dommages-intérêts à l'héritier qui s'est engagé sans pouvoirs (Meier-Hayoz, op. cit., ibidem).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