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409/2023 vom 4. August 2023</w:t>
      </w:r>
    </w:p>
    <w:p>
      <w:r>
        <w:t>Bundesgericht, 2023-08-04, FR</w:t>
      </w:r>
    </w:p>
    <w:p>
      <w:r>
        <w:rPr>
          <w:b/>
        </w:rPr>
        <w:t xml:space="preserve">Quelle: </w:t>
      </w:r>
      <w:r>
        <w:t>https://mcp.opencaselaw.ch/entscheid/bger_5A_409_2023</w:t>
      </w:r>
    </w:p>
    <w:p>
      <w:r>
        <w:t>FR: TF 5A 409/2023 du 4 août 2023</w:t>
      </w:r>
    </w:p>
    <w:p>
      <w:r>
        <w:t>IT: TF 5A 409/2023 del 4 agosto 2023</w:t>
      </w:r>
    </w:p>
    <w:p>
      <w:pPr>
        <w:pStyle w:val="Heading2"/>
      </w:pPr>
      <w:r>
        <w:t>Regeste</w:t>
      </w:r>
    </w:p>
    <w:p>
      <w:r>
        <w:t>approbation d'un inventaire fiscal et successoral | Droit des successions</w:t>
      </w:r>
    </w:p>
    <w:p>
      <w:pPr>
        <w:pStyle w:val="Heading2"/>
      </w:pPr>
      <w:r>
        <w:t>Erwägungen</w:t>
      </w:r>
    </w:p>
    <w:p>
      <w:r>
        <w:rPr>
          <w:b/>
        </w:rPr>
        <w:t>E. 1</w:t>
      </w:r>
    </w:p>
    <w:p>
      <w:r>
        <w:t>Par arrêt du 24 avril 2023, la Chambre de surveillance de la Cour de justice du canton de Genève a déclaré irrecevable, faute de paiement de l'avance de frais, le recours interjeté par A.________ contre la décision rendue le 28 septembre 2022 par le Tribunal de protection de l'adulte et de l'enfant du canton de Genève.</w:t>
      </w:r>
    </w:p>
    <w:p>
      <w:r>
        <w:rPr>
          <w:b/>
        </w:rPr>
        <w:t>E. 2</w:t>
      </w:r>
    </w:p>
    <w:p>
      <w:r>
        <w:t>Par acte expédié le 26 mai 2023, A.________ interjette un recours en matière civile au Tribunal fédéral contre l'arrêt cantonal. Des observations n'ont pas été requises.</w:t>
      </w:r>
    </w:p>
    <w:p>
      <w:r>
        <w:rPr>
          <w:b/>
        </w:rPr>
        <w:t>E. 3</w:t>
      </w:r>
    </w:p>
    <w:p>
      <w:r>
        <w:t>La présente écriture est traitée en tant que recours en matière civile au sens de l'art. 72 al. 2 let. b ch. 6 LTF. Il apparaît superflu de vérifier les autres conditions de recevabilité, ce procédé étant voué à l'échec.</w:t>
      </w:r>
    </w:p>
    <w:p>
      <w:r>
        <w:rPr>
          <w:b/>
        </w:rPr>
        <w:t>E. 4.1</w:t>
      </w:r>
    </w:p>
    <w:p>
      <w:r>
        <w:t>En l'espèce, l'autorité cantonale a retenu en bref que la recourante n'avait pas payé l'avance de frais requise dans le délai supplémentaire imparti à cet effet ( i.e. 400 fr.), après avoir été déboutée des fins de sa requête d'assistance judiciaire. Cela étant, elle a déclaré irrecevable le recours ( art. 101 al. 3 CPC ).</w:t>
      </w:r>
    </w:p>
    <w:p>
      <w:r>
        <w:rPr>
          <w:b/>
        </w:rPr>
        <w:t>E. 4.2</w:t>
      </w:r>
    </w:p>
    <w:p>
      <w:r>
        <w:t>La recourante ne s'en prend aucunement au motif d'irrecevabilité sur lequel se fonde la décision entreprise, mais demande la levée de la mesure de curatelle prononcée en sa faveur, laquelle repose sur un rapport d'expertise psychiatrique " falsifié, induit et calomnieux ". Quant à " l'information importante " relative à un " immeuble " faisant l'objet d'un partage successoral, elle est nouvelle ( art. 99 al. 1 LTF ), en plus d'être dénuée de pertinence. Dépourvu de motivation topique, le recours est dès lors irrecevable ( art. 42 al. 2 LTF ; ATF 140 III 86 consid. 2, avec la jurisprudence citée).</w:t>
      </w:r>
    </w:p>
    <w:p>
      <w:r>
        <w:rPr>
          <w:b/>
        </w:rPr>
        <w:t>E. 5</w:t>
      </w:r>
    </w:p>
    <w:p>
      <w:r>
        <w:t>Vu ce qui précède, le présent recours doit être déclaré irrecevable par voie de procédure simplifiée ( art. 108 al. 1 let. b LTF ). Contrairement à la procédure cantonale, la recourante n'a pas expressément requis le bénéfice de l'assistance judiciaire pour la procédure fédérale; quoi qu'il en soit, une telle requête eût été rejetée vu l'irrecevabilité manifeste du procédé ( art. 64 al. 1 LTF ). Cela étant, les frais judiciaires doivent être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