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5A_406/2019 vom 3. Juni 2019</w:t>
      </w:r>
    </w:p>
    <w:p>
      <w:r>
        <w:t>Bundesgericht, 2019-06-03, IT</w:t>
      </w:r>
    </w:p>
    <w:p>
      <w:r>
        <w:rPr>
          <w:b/>
        </w:rPr>
        <w:t xml:space="preserve">Quelle: </w:t>
      </w:r>
      <w:r>
        <w:t>https://mcp.opencaselaw.ch/entscheid/bger_5A_406_2019</w:t>
      </w:r>
    </w:p>
    <w:p>
      <w:r>
        <w:t>FR: TF 5A_406/2019 du 3 juin 2019</w:t>
      </w:r>
    </w:p>
    <w:p>
      <w:r>
        <w:t>IT: TF 5A_406/2019 del 3 giugno 2019</w:t>
      </w:r>
    </w:p>
    <w:p>
      <w:pPr>
        <w:pStyle w:val="Heading2"/>
      </w:pPr>
      <w:r>
        <w:t>Erwägungen</w:t>
      </w:r>
    </w:p>
    <w:p>
      <w:r>
        <w:rPr>
          <w:b/>
        </w:rPr>
        <w:t>E. 1</w:t>
      </w:r>
    </w:p>
    <w:p>
      <w:r>
        <w:t>Nelle esecuzioni promosse da B.________AG, dalla Confederazione svizzera e dallo Stato del Cantone Ticino nei confronti di A.________, l'Ufficio di esecuzione di Lugano ha emesso gli avvisi di pignoramento tra il 17 ed il 30 agosto 2018.</w:t>
      </w:r>
    </w:p>
    <w:p>
      <w:r>
        <w:t>Con sentenza 23 aprile 2019 la Camera di esecuzione e fallimenti del Tribunale d'appello del Cantone Ticino, quale autorità di vigilanza, ha respinto, nella misura della sua ammissibilità, il ricorso introdotto da A.________ avverso tali avvisi di pignoramento. Secondo la Corte cantonale, le critiche rivolte contro il pignoramento stesso sono prive d'oggetto dato che non è ancora stato eseguito, mentre la richiesta di annullare l'avviso di pignoramento nell'esecuzione promossa da B.________AG va respinta dato che tale creditrice ha prodotto, con la domanda di continuazione dell'esecuzione, la proposta di giudizio del Giudice di pace del Circolo di Lugano Est del 20 giugno 2018 con cui l'escussa è stata condannata a pagarle fr. 4'403.-- (oltre interessi e spese) e che l'opposizione dell'escussa è stata rigettata in via definitiva. L'autorità di vigilanza ha infine osservato che la partenza dell'escussa per l'estero, notificata il 4 ottobre 2018, non ha influito sulla validità delle esecuzioni, dato che gli avvisi di pignoramento le sono stati notificati prima ( art. 53 LEF ).</w:t>
      </w:r>
    </w:p>
    <w:p>
      <w:r>
        <w:rPr>
          <w:b/>
        </w:rPr>
        <w:t>E. 2</w:t>
      </w:r>
    </w:p>
    <w:p>
      <w:r>
        <w:t>Con ricorso in materia civile 16 maggio 2019 A.________ ha impugnato la sentenza dell'autorità di vigilanza dinanzi al Tribunale federale, chiedendone l'annullamento.</w:t>
      </w:r>
    </w:p>
    <w:p>
      <w:r>
        <w:t>Non sono state chieste determinazioni.</w:t>
      </w:r>
    </w:p>
    <w:p>
      <w:r>
        <w:rPr>
          <w:b/>
        </w:rPr>
        <w:t>E. 3</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rimedio all'esame la ricorrente lamenta la violazione degli art. 53 e 80 LEF , 9, 29 e 30 Cost. e 6 CEDU. Ella solleva nuovamente " l'eccezione d'incompetenza territoriale " per effetto del suo trasferimento all'estero e ribadisce che l'esecuzione promossa da B.________AG si fonderebbe su una decisione non definitiva e non regolarmente notificata. La ricorrente ripropone quindi in sostanza le censure già sollevate dinanzi all'autorità di vigilanza, limitandosi però ad apoditticamente e genericamente contestare quanto stabilito dai Giudici cantonali. Il suo gravame non soddisfa pertanto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alle parti, all'Ufficio di esecuzione di Lugano e alla Camera di esecuzione e fallimenti del Tribunale d'appello del Cantone Ticino, quale autorità di vigilanza.</w:t>
      </w:r>
    </w:p>
    <w:p>
      <w:r>
        <w:t>Losanna, 3 giugno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