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5A_405/2013 vom 28. Juni 2013</w:t>
      </w:r>
    </w:p>
    <w:p>
      <w:r>
        <w:t>Bundesgericht, 2013-06-28, DE</w:t>
      </w:r>
    </w:p>
    <w:p>
      <w:r>
        <w:rPr>
          <w:b/>
        </w:rPr>
        <w:t xml:space="preserve">Quelle: </w:t>
      </w:r>
      <w:r>
        <w:t>https://mcp.opencaselaw.ch/entscheid/bger_5A_405_2013</w:t>
      </w:r>
    </w:p>
    <w:p>
      <w:r>
        <w:t>FR: TF 5A_405/2013 du 28 juin 2013</w:t>
      </w:r>
    </w:p>
    <w:p>
      <w:r>
        <w:t>IT: TF 5A_405/2013 del 28 giugno 2013</w:t>
      </w:r>
    </w:p>
    <w:p>
      <w:pPr>
        <w:pStyle w:val="Heading2"/>
      </w:pPr>
      <w:r>
        <w:t>Erwägungen</w:t>
      </w:r>
    </w:p>
    <w:p>
      <w:r>
        <w:rPr>
          <w:b/>
        </w:rPr>
        <w:t>E. 1.1</w:t>
      </w:r>
    </w:p>
    <w:p>
      <w:r>
        <w:t>Beim angefochtenen Entscheid, mit welchem die Vorinstanz das Sistierungsgesuch abgewiesen hat, handelt es sich um einen Zwischenentscheid im Sinne von Art. 93 BGG ( BGE 133 V 477 E. 4.2 S. 481 f.; zuletzt Urteil 8C_10/2013 vom 8. Februar 2013). Selbständig eröffnete Zwischenentscheide können - von hier nicht gegebenen weiteren Ausnahmen abgesehen ( Art. 92 BGG ) - nur dann mit Beschwerde in Zivilsachen angefochten werden,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Letzteres fällt bei einem Sistierungsgesuch zum Vornherein ausser Betracht.</w:t>
      </w:r>
    </w:p>
    <w:p>
      <w:r>
        <w:rPr>
          <w:b/>
        </w:rPr>
        <w:t>E. 1.2</w:t>
      </w:r>
    </w:p>
    <w:p>
      <w:r>
        <w:t>Ein im Sinne von Art. 93 Abs. 1 lit. a BGG nicht wieder gutzumachender Nachteil muss rechtlicher Natur und somit auch mit einem für die Beschwerde führende Partei günstigen Endentscheid nicht oder nicht vollständig behebbar sein ( BGE 134 III 188 E. 2.1 S. 190; 134 III 426 E. 1.3.1 S. 430). Die Erfüllung dieser Voraussetzung ist in der Beschwerde darzutun ( BGE 134 III 426 E. 1.2 S. 429).</w:t>
      </w:r>
    </w:p>
    <w:p>
      <w:r>
        <w:rPr>
          <w:b/>
        </w:rPr>
        <w:t>E. 2</w:t>
      </w:r>
    </w:p>
    <w:p>
      <w:r>
        <w:t>Der Beschwerdeführer bringt zusammengefasst vor, dass die Klage der Beschwerdegegnerin 1 infolge fehlender resp. ungenügender Vollmacht mangelhaft im Sinne von Art. 132 ZPO gewesen sei. Die erstinstanzliche Richterin hätte daher die Klage nicht zur Klageantwort zustellen dürfen, sondern diese zur Nachbesserung bzw. Nachreichung der Vollmacht an die Klägerin (Beschwerdegegnerin 1) zurückweisen müssen. Es habe die Gefahr bestanden, dass die Beschwerdegegnerin 1 die Vollmacht nicht nachreiche. Diesfalls hätte die Klage als nicht erfolgt gelten müssen, womit die Rechtshängigkeit des Verfahrens rückwirkend dahin gefallen wäre. Damit hätte er insbesondere umsonst eine Klageantwort eingereicht. Das nachträgliche Wegfallen der Rechtshängigkeit stelle einen rechtlichen Nachteil dar, welcher selbst durch eine Entschädigung nicht aufgewogen werden könne.</w:t>
      </w:r>
    </w:p>
    <w:p>
      <w:r>
        <w:rPr>
          <w:b/>
        </w:rPr>
        <w:t>E. 3.1</w:t>
      </w:r>
    </w:p>
    <w:p>
      <w:r>
        <w:t>Das Obergericht hat einen nicht leicht wieder gutzumachenden Nachteil im Sinne von Art. 319 lit. b Ziff. 2 ZPO verneint und ist auf die kantonale Beschwerde nicht eingetreten. In einer Eventualbegründung hat es zudem dargelegt, weshalb diese auch materiell abzuweisen wäre.</w:t>
      </w:r>
    </w:p>
    <w:p>
      <w:r>
        <w:rPr>
          <w:b/>
        </w:rPr>
        <w:t>E. 3.2</w:t>
      </w:r>
    </w:p>
    <w:p>
      <w:r>
        <w:t>Ein nicht wieder gutzumachender Nachteil im Sinn von Art. 93 Abs. 1 lit. a BGG ist umso weniger ersichtlich: Bei fehlender Vollmacht gewährt das Gericht eine Nachfrist zur Verbesserung des Mangels ( Art. 132 Abs. 1 Satz 1 ZPO ). Wäre keine Verbesserung erfolgt, hätte die Klage als nicht eingereicht gegolten ( Art. 132 Abs. 1 Satz 2 ZPO ) und wäre die Beschwerdegegnerin 1 diesfalls für die Prozesshandlungen der Gegenseite entschädigungspflichtig geworden (Art. 95 Abs. 1 i.V.m. Art. 106 Abs. 1 ZPO ).</w:t>
      </w:r>
    </w:p>
    <w:p>
      <w:r>
        <w:t>Wie die Vorinstanz festgestellt hat, reichte die Beschwerdegegnerin 1 in der ihr gesetzten Nachfrist die Vollmacht ein. Diese Sachverhaltsfeststellung wird vom Beschwerdeführer nicht gemäss Art. 97 Abs. 1 BGG gerügt und ist damit für das Bundesgericht verbindlich ( Art. 105 Abs. 1 BGG ). Durch die Nachreichung der Vollmacht wurde der Mangel geheilt (vgl. Botschaft zur ZPO vom 28. Juni 2006, BBl 2006 7221 ff., S. 7306). Die Rechtshängigkeit ist damit im Zeitpunkt der Einreichung der ursprünglichen Eingabe eingetreten (vgl. Frei, in: Berner Kommentar zur ZPO, Band I, Bern 2012, N 24 zu Art. 132 ZPO , mit weiteren Hinweisen). Dem Beschwerdeführer ist folglich kein Nachteil und schon gar nicht ein solcher im Sinn von Art. 93 Abs. 1 lit. a BGG entstanden.</w:t>
      </w:r>
    </w:p>
    <w:p>
      <w:r>
        <w:rPr>
          <w:b/>
        </w:rPr>
        <w:t>E. 3.3</w:t>
      </w:r>
    </w:p>
    <w:p>
      <w:r>
        <w:t>Ist der angefochtene Entscheid betreffend Nichteintreten zu schützen, sind die mit Bezug auf die materielle Eventualbegründung erhobenen Gehörsrügen gegenstandslos. Ohnehin wären sie auch in der Sache unbegründet, weil das Obergericht sich mit den wesentlichen Vorbringen des Beschwerdeführers auseinandergesetzt und seinen Entscheid nachvollziehbar begründet hat (vgl. dazu BGE 138 I 232 E. 5.1 S. 237 ; 136 I 229 E. 5.2 S. 236).</w:t>
      </w:r>
    </w:p>
    <w:p>
      <w:r>
        <w:t>Auf die Beschwerde kann somit im Hauptpunkt nicht eingetreten werden.</w:t>
      </w:r>
    </w:p>
    <w:p>
      <w:r>
        <w:rPr>
          <w:b/>
        </w:rPr>
        <w:t>E. 4</w:t>
      </w:r>
    </w:p>
    <w:p>
      <w:r>
        <w:t>Mit einer vom Ausgang der Beschwerde im Hauptpunkt unabhängigen Rüge beanstandet der Beschwerdeführer die Kosten- und Entschädigungsregelung des angefochtenen Entscheides. Die zugesprochene Parteientschädigung sei unangemessen hoch angesetzt worden. Überdies habe die Beschwerdegegnerin 1 diese gar nicht verlangt, sie habe nur den routinemässigen Antrag "unter Kosten- und Entschädigungsfolge" angefügt.</w:t>
      </w:r>
    </w:p>
    <w:p>
      <w:r>
        <w:t>Der in einem Zwischenentscheid enthaltene Kosten- und Entschädigungspunkt kann nur im Rahmen einer Beschwerde gegen den Zwischenentscheid im Hauptpunkt an das Bundesgericht weitergezogen werden, soweit der Rechtsweg nach Art. 93 Abs. 1 BGG im Hauptpunkt offensteht. Der in einem Zwischenentscheid enthaltene Entscheid über Kosten- und Entschädigungsfolgen kann nicht selber einen nicht wieder gutzumachenden Nachteil gemäss Art. 93 Abs. 1 lit. a BGG bewirken ( BGE 135 III 329 E. 1.2.1 und 1.2.2 S. 332 ff.; Urteil 5A_780/2011 vom 23. Februar 2012 E. 2). Diesfalls sind die Entschädigungsfolgen zusammen mit dem Endentscheid anzufechten ( Art. 93 Abs. 3 BGG ).</w:t>
      </w:r>
    </w:p>
    <w:p>
      <w:r>
        <w:t>Wie soeben festgestellt, ist die Anfechtung des Zwischenentscheides im Hauptpunkt unzulässig. Somit kann auch auf die Anfechtung der Parteientschädigung nicht eingetreten werden.</w:t>
      </w:r>
    </w:p>
    <w:p>
      <w:r>
        <w:rPr>
          <w:b/>
        </w:rPr>
        <w:t>E. 5</w:t>
      </w:r>
    </w:p>
    <w:p>
      <w:r>
        <w:t>Entsprechend dem Ausgang des Verfahrens sind die Gerichtskosten dem Beschwerdeführer aufzuerlegen ( Art. 66 Abs. 1 BGG ). Den Beschwerdegegnerinnen ist mangels Einholung von Vernehmlassungen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