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404/2019 vom 15. Juli 2019</w:t>
      </w:r>
    </w:p>
    <w:p>
      <w:r>
        <w:t>Bundesgericht, 2019-07-15, FR</w:t>
      </w:r>
    </w:p>
    <w:p>
      <w:r>
        <w:rPr>
          <w:b/>
        </w:rPr>
        <w:t xml:space="preserve">Quelle: </w:t>
      </w:r>
      <w:r>
        <w:t>https://mcp.opencaselaw.ch/entscheid/bger_5A_404_2019</w:t>
      </w:r>
    </w:p>
    <w:p>
      <w:r>
        <w:t>FR: TF 5A 404/2019 du 15 juillet 2019</w:t>
      </w:r>
    </w:p>
    <w:p>
      <w:r>
        <w:t>IT: TF 5A 404/2019 del 15 luglio 2019</w:t>
      </w:r>
    </w:p>
    <w:p>
      <w:pPr>
        <w:pStyle w:val="Heading2"/>
      </w:pPr>
      <w:r>
        <w:t>Regeste</w:t>
      </w:r>
    </w:p>
    <w:p>
      <w:r>
        <w:t>mesures protectrices de l'union conjugale (déplacement du lieu de résidence de l'enfant) | Droit de la famille</w:t>
      </w:r>
    </w:p>
    <w:p>
      <w:pPr>
        <w:pStyle w:val="Heading2"/>
      </w:pPr>
      <w:r>
        <w:t>Erwägungen</w:t>
      </w:r>
    </w:p>
    <w:p>
      <w:r>
        <w:rPr>
          <w:b/>
        </w:rPr>
        <w:t>E. 1</w:t>
      </w:r>
    </w:p>
    <w:p>
      <w:r>
        <w:t>Le recours a été déposé dans le délai légal ( art. 100 al. 1 LTF ) contre une décision finale ( art. 90 LTF ; ATF 134 III 426 consid. 2.2; 133 III 393 consid. 4), rendue en matière civile ( art. 72 al. 1 LTF ) par un tribunal cantonal supérieur statuant sur recours ( art. 75 al. 1 et 2 LTF ). Le litige porte sur l'autorisation de déplacer le lieu de résidence de l'enfant, de sorte qu'il est de nature non pécuniaire. Le recourant, qui a succombé devant la juridiction cantonale et possède un intérêt digne de protection à la modification de la décision attaquée, a qualité pour recourir ( art. 76 al. 1 LTF ).</w:t>
      </w:r>
    </w:p>
    <w:p>
      <w:r>
        <w:rPr>
          <w:b/>
        </w:rPr>
        <w:t>E. 2.1</w:t>
      </w:r>
    </w:p>
    <w:p>
      <w:r>
        <w:t>Dès lors que la décision attaquée porte sur des mesures protectrices de l'union conjugale (art. 172 à 179 CC), lesquelles sont considérées comme des mesures provisionnelles au sens de l' art. 98 LTF ( ATF 133 III 393 consid. 5), seule la violation de droits constitutionnels peut être soulevée à leur encontre. Le Tribunal fédéral n'examine de tels griefs que s'ils ont été invoqués et motivés (" principe d'allégation ", art. 106 al. 2 LTF ), à savoir expressément soulevés et exposés de manière claire et détaillée ( ATF 139 I 229 consid. 2.2; 134 I 83 consid. 3.2; 133 III 393 consid. 6;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Le Tribunal fédéral ne corrige les constatations de fait que si elles sont arbitraires ( art. 9 Cst. ) et ont une influence sur le résultat de la décision (arrêts 5A_24/2018 du 21 septembre 2018 consid. 2.2; 5A_64/2018 du 14 août 2018 consid. 2.2).</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w:t>
      </w:r>
    </w:p>
    <w:p>
      <w:r>
        <w:rPr>
          <w:b/>
        </w:rPr>
        <w:t>E. 3</w:t>
      </w:r>
    </w:p>
    <w:p>
      <w:r>
        <w:t>En l'espèce, le recourant a manifestement méconnu la nature de la décision entreprise. En effet, bien qu'il se plaigne de la manière dont certains faits ont été établis par la Cour civile et soulève un grief de violation de l' art. 301a CC , ses écritures de recours ne comportent aucun grief d'arbitraire ( art. 9 Cst. ) dans l'application de cette dernière norme ni dans l'appréciation des faits, alors même que la cour cantonale a expressément fait état du caractère provisionnel de la procédure (cf. décision attaquée, consid. 1.1.1 p. 11). Le seul grief de nature constitutionnelle soulevé par le recourant est celui tiré de la violation de son droit d'être entendu ( art. 29 al. 2 Cst. ), qui sera examiné ci-après (cf. infra consid. 4). Quant aux autres griefs, ils sont irrecevables faute de répondre aux conditions des art. 98 et 106 al. 2 LTF (cf. supra consid. 2.1).</w:t>
      </w:r>
    </w:p>
    <w:p>
      <w:r>
        <w:rPr>
          <w:b/>
        </w:rPr>
        <w:t>E. 4</w:t>
      </w:r>
    </w:p>
    <w:p>
      <w:r>
        <w:t>Le recourant se plaint de la violation de son droit d'être entendu au motif qu'aucune expertise psycho-judiciaire et de coparentalité n'a été ordonnée avant qu'il soit statué. Or, le fait qu'une thérapie ait été imposée aux parents avant le départ de la mère illustre selon lui le doute qui a surgi dans l'esprit des magistrats cantonaux quant aux conséquences pour l'enfant du déplacement de son lieu de vie en Macédoine. A l'examen du dossier cantonal, il n'apparaît toutefois pas que le recourant se serait plaint devant l'autorité précédente de ce que la juge de district n'a pas ordonné une telle expertise. Il est donc forclos à s'en plaindre à ce stade (cf. supra consid. 2.3). Pour le surplus, en tant que le recourant reproche à la cour cantonale de ne pas avoir ordonné d'office l'expertise en question, il aurait dû soulever un grief de violation arbitraire ( art. 9 Cst. ) de l' art. 296 al. 1 CPC - qui s'applique en deuxième instance (arrêt 5A_813/2013 du 12 mai 2014 consid. 3.3) -, ce qu'il n'a pas fait. Sous cet angle là également, le moyen est irrecevable.</w:t>
      </w:r>
    </w:p>
    <w:p>
      <w:r>
        <w:rPr>
          <w:b/>
        </w:rPr>
        <w:t>E. 5</w:t>
      </w:r>
    </w:p>
    <w:p>
      <w:r>
        <w:t>En définitive, le recours est entièrement irrecevable. Les frais judiciaires sont par conséquent mis à la charge du recourant ( art. 66 al. 1 LTF ). Il n'y a pas lieu d'allouer une indemnité de dépens à l'intimée qui n'a pas été invitée à se déterminer au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