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5A_404/2017 vom 31. Mai 2017</w:t>
      </w:r>
    </w:p>
    <w:p>
      <w:r>
        <w:t>Bundesgericht, 2017-05-31, FR</w:t>
      </w:r>
    </w:p>
    <w:p>
      <w:r>
        <w:rPr>
          <w:b/>
        </w:rPr>
        <w:t xml:space="preserve">Quelle: </w:t>
      </w:r>
      <w:r>
        <w:t>https://mcp.opencaselaw.ch/entscheid/bger_5A_404_2017</w:t>
      </w:r>
    </w:p>
    <w:p>
      <w:r>
        <w:t>FR: TF 5A_404/2017 du 31 mai 2017</w:t>
      </w:r>
    </w:p>
    <w:p>
      <w:r>
        <w:t>IT: TF 5A_404/2017 del 31 maggio 2017</w:t>
      </w:r>
    </w:p>
    <w:p>
      <w:pPr>
        <w:pStyle w:val="Heading2"/>
      </w:pPr>
      <w:r>
        <w:t>Erwägungen</w:t>
      </w:r>
    </w:p>
    <w:p>
      <w:r>
        <w:rPr>
          <w:b/>
        </w:rPr>
        <w:t>E. 1</w:t>
      </w:r>
    </w:p>
    <w:p>
      <w:r>
        <w:t>Par ordonnance du 9 mai 2017, la Chambre de surveillance des Offices des poursuites et faillites de la Cour de justice du canton de Genève a ordonné la jonction de trois procédures de plaintes formées le 26 avril 2017 par A.________, dans le cadre de trois poursuites ayant donné lieu à un avis de saisie, au motif que la créancière poursuivante aurait été radiée du Registre du commerce, et refusé l'octroi de l'effet suspensif assortissant les trois plaintes. L'autorité cantonale a relevé que les actifs et passifs de la créancière poursuivante avaient été repris par une autre société, en sorte que la poursuivante n'aurait pas perdu,</w:t>
      </w:r>
    </w:p>
    <w:p>
      <w:r>
        <w:t>prima facie , sa légitimation active.</w:t>
      </w:r>
    </w:p>
    <w:p>
      <w:r>
        <w:rPr>
          <w:b/>
        </w:rPr>
        <w:t>E. 2</w:t>
      </w:r>
    </w:p>
    <w:p>
      <w:r>
        <w:t>Par acte du 26 mai 2017, A.________ exerce un recours en matière civile au Tribunal fédéral tendant principalement à l'annulation de l'ordonnance querellée et à l'annulation des trois poursuites et de l'avis de saisie. Au préalable, le recourant sollicite le prononcé de l'effet suspensif à son recours.</w:t>
      </w:r>
    </w:p>
    <w:p>
      <w:r>
        <w:rPr>
          <w:b/>
        </w:rPr>
        <w:t>E. 3</w:t>
      </w:r>
    </w:p>
    <w:p>
      <w:r>
        <w:t>Le présent recours est dirigé contre une décision refusant l'octroi de l'effet suspensif assortissant trois plaintes LP,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se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ne discute pas explicitement de la recevabilité de son recours à l'encontre d'une décision de nature incidente, mais expose néanmoins qu'en refusant de suspendre l'avis de saisie, il s'expose au risque de se voir réclamer les montants en poursuites une deuxième fois par la nouvelle créancière. Cette argumentation ne saurait être suivie. Le fait d'être exposé à un simple préjudice financier est, par principe, dépourvu de pertinence au regard de l' art. 93 al. 1 let. a LTF . Au demeurant, faute de développement de son raisonnement, le recourant ne fait nullement valoir que la nouvelle créancière lui aurait fait notifier de nouveaux commandements de payer ou qu'elle serait en difficultés financières, en sorte que l'éventuel dommage financier n'est même pas rendu vraisemblable. Pour le surplus, l'on ne voit pas, de manière manifeste, à quel dommage irréparable le recourant serait exposé dans le cadre de poursuites par voie de saisie.</w:t>
      </w:r>
    </w:p>
    <w:p>
      <w:r>
        <w:t>Dans ces circonstances, le recours fondé sur l' art. 93 al. 1 LTF doit d'emblée être déclaré irrecevable, selon la procédure simplifiée prévue à l' art. 108 al. 1 let. a LTF .</w:t>
      </w:r>
    </w:p>
    <w:p>
      <w:r>
        <w:rPr>
          <w:b/>
        </w:rPr>
        <w:t>E. 4</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