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5A_403/2021 vom 2. Juni 2021</w:t>
      </w:r>
    </w:p>
    <w:p>
      <w:r>
        <w:t>Bundesgericht, 2021-06-02, DE</w:t>
      </w:r>
    </w:p>
    <w:p>
      <w:r>
        <w:rPr>
          <w:b/>
        </w:rPr>
        <w:t xml:space="preserve">Quelle: </w:t>
      </w:r>
      <w:r>
        <w:t>https://mcp.opencaselaw.ch/entscheid/bger_5A_403_2021</w:t>
      </w:r>
    </w:p>
    <w:p>
      <w:r>
        <w:t>FR: TF 5A_403/2021 du 2 juin 2021</w:t>
      </w:r>
    </w:p>
    <w:p>
      <w:r>
        <w:t>IT: TF 5A_403/2021 del 2 giugno 2021</w:t>
      </w:r>
    </w:p>
    <w:p>
      <w:pPr>
        <w:pStyle w:val="Heading2"/>
      </w:pPr>
      <w:r>
        <w:t>Erwägungen</w:t>
      </w:r>
    </w:p>
    <w:p>
      <w:r>
        <w:rPr>
          <w:b/>
        </w:rPr>
        <w:t>E. 1</w:t>
      </w:r>
    </w:p>
    <w:p>
      <w:r>
        <w:t>Im Zusammenhang mit der Pfändung vom 25. Februar 2021 (Betreibung Nr. xxx) wandte sich der Beschwerdeführer am 5. März 2021 an das Bezirksgericht Meilen. Mit Urteil vom 24. März 2021 wies das Bezirksgericht die Beschwerde ab.</w:t>
      </w:r>
    </w:p>
    <w:p>
      <w:r>
        <w:t>Dagegen erhob der Beschwerdeführer am 9. April 2021 Beschwerde beim Obergericht des Kantons Zürich. Mit Urteil vom 30. April 2021 wies das Obergericht die Beschwerde ab, soweit es darauf eintrat.</w:t>
      </w:r>
    </w:p>
    <w:p>
      <w:r>
        <w:t>Dagegen hat der Beschwerdeführer am 17. Mai 2021 Beschwerde an das Bundesgericht erhoben.</w:t>
      </w:r>
    </w:p>
    <w:p>
      <w:r>
        <w:rPr>
          <w:b/>
        </w:rPr>
        <w:t>E. 2</w:t>
      </w:r>
    </w:p>
    <w:p>
      <w:r>
        <w:t>Entgegen den Anträgen des Beschwerdeführers ist sowohl auf den Beizug der vollständigen Akten wie auch auf die Durchführung einer Vernehmlassung zu verzichten ( Art. 102 BGG ). Die Angelegenheit kann anhand der Beschwerdeschrift und des angefochtenen Urteils behandelt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Das Obergericht hat die Beschwerde abgewiesen, soweit der Beschwerdeführer vorbrachte, der bezirksgerichtliche Entscheid sei "i.V." unterschrieben, weshalb Tatverdacht auf Urkundenfälschung bestehe. Das Obergericht hat erwogen, es sei zulässig und üblich, dass ein anderes Mitglied des Gerichts auf gleicher Funktionsstufe einen Entscheid stellvertretend unterzeichne. Im Übrigen ist das Obergericht auf die Beschwerde mangels genügender Begründung nicht eingetreten, da sich der Beschwerdeführer mit den Erwägungen des Bezirksgerichts nicht auseinandergesetzt, sondern bloss seinen Standpunkt (der Forderungstitel sei null und nichtig) wiederholt habe.</w:t>
      </w:r>
    </w:p>
    <w:p>
      <w:r>
        <w:rPr>
          <w:b/>
        </w:rPr>
        <w:t>E. 5</w:t>
      </w:r>
    </w:p>
    <w:p>
      <w:r>
        <w:t>Der Beschwerdeführer setzt sich mit diesen Erwägungen nicht auseinander, sondern er wiederholt bloss seinen Standpunkt. Der Beschwerdeführer verlangt zudem - soweit ersichtlich neu - die Nennung des Beamten mit Funktionsangabe, der das bezirksgerichtliche Urteil "i.V." unterzeichnet hat. Neue Begehren sind vor Bundesgericht unzulässig ( Art. 99 Abs. 2 BGG ). Ohnehin hat er sich für sein Anliegen an das Bezirksgericht zu wenden.</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6</w:t>
      </w:r>
    </w:p>
    <w:p>
      <w:r>
        <w:t>Bei diesem Ausgang des Verfahrens trägt der Beschwerdeführer die Gerichtskosten ( Art. 66 Abs. 1 BGG ). Eine Entschädigung an ihn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