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5A_403/2011 vom 17. November 2011</w:t>
      </w:r>
    </w:p>
    <w:p>
      <w:r>
        <w:t>Bundesgericht, 2011-11-17, DE</w:t>
      </w:r>
    </w:p>
    <w:p>
      <w:r>
        <w:rPr>
          <w:b/>
        </w:rPr>
        <w:t xml:space="preserve">Quelle: </w:t>
      </w:r>
      <w:r>
        <w:t>https://mcp.opencaselaw.ch/entscheid/bger_5A_403_2011</w:t>
      </w:r>
    </w:p>
    <w:p>
      <w:r>
        <w:t>FR: TF 5A_403/2011 du 17 novembre 2011</w:t>
      </w:r>
    </w:p>
    <w:p>
      <w:r>
        <w:t>IT: TF 5A_403/2011 del 17 novembre 2011</w:t>
      </w:r>
    </w:p>
    <w:p>
      <w:pPr>
        <w:pStyle w:val="Heading2"/>
      </w:pPr>
      <w:r>
        <w:t>Erwägungen</w:t>
      </w:r>
    </w:p>
    <w:p>
      <w:r>
        <w:rPr>
          <w:b/>
        </w:rPr>
        <w:t>E. 1</w:t>
      </w:r>
    </w:p>
    <w:p>
      <w:r>
        <w:t>Das Bundesgericht überprüft von Amtes wegen und mit freier Kognition, ob eine Beschwerde zulässig ist ( BGE 135 III 212 E. 1 S. 216; 134 III 115 E. 1 S. 117, je mit Hinweisen). Freilich muss die Eingabe auch bezüglich der Eintretensvoraussetzungen hinreichend begründet sein ( Art. 42 Abs. 1 und 2 BGG ; BGE 134 II 120 E. 1 S. 121).</w:t>
      </w:r>
    </w:p>
    <w:p>
      <w:r>
        <w:rPr>
          <w:b/>
        </w:rPr>
        <w:t>E. 2.1</w:t>
      </w:r>
    </w:p>
    <w:p>
      <w:r>
        <w:t>Fristgerecht ( Art. 100 Abs. 1 BGG ) angefochten ist ein kantonal letztinstanzlicher Rechtsmittelentscheid eines oberen kantonalen Gerichts ( Art. 75 BGG ) über eine vormundschaftliche Massnahme, also ein öffentlich-rechtlicher Entscheid, der in unmittelbarem Zusammenhang mit dem Zivilrecht steht (Art. 72 Abs. 2 lit. b Ziff. 6 BGG).</w:t>
      </w:r>
    </w:p>
    <w:p>
      <w:r>
        <w:rPr>
          <w:b/>
        </w:rPr>
        <w:t>E. 2.2</w:t>
      </w:r>
    </w:p>
    <w:p>
      <w:r>
        <w:t>Gegenstand der Beschwerde ist einzig der Entscheid der letzten kantonalen Instanz ( Art. 75 Abs. 1 BGG ). Soweit die Beschwerdeführerin am Entscheid des Regierungsstatthalteramts Obersimmental-Saanen vom 15. Februar 2011 und an der Verfügung der Vormundschaftskommission der Einwohnergemeinde A.________ vom 23. Juni 2010 Kritik übt, ist auf die Beschwerde nicht einzutreten.</w:t>
      </w:r>
    </w:p>
    <w:p>
      <w:r>
        <w:rPr>
          <w:b/>
        </w:rPr>
        <w:t>E. 2.3</w:t>
      </w:r>
    </w:p>
    <w:p>
      <w:r>
        <w:t>Das Obergericht hat einerseits die Anträge der Beschwerdeführerin auf Ernennung bestimmter Personen als Beistand abgewiesen und anderseits die zuständige Vormundschaftsbehörde angewiesen, eine neue Beistandsperson zu ernennen. Der angefochtene Entscheid schliesst das erstinstanzliche Verfahren vor der Vormundschaftskommission der Einwohnergemeinde A.________ betreffend die Bestellung eines Beistandes also nicht ab. Es liegt kein Endentscheid im Sinne von Art. 90 BGG vor. Ebenso wenig kommt dem Entscheid des Obergerichts der Charakter eines Teilentscheids im Sinne von Art. 91 lit. a BGG zu, denn die behandelten Begehren können nicht unabhängig voneinander beurteilt werden. Mithin ist der angefochtene Entscheid seiner Natur nach ein Zwischenentscheid.</w:t>
      </w:r>
    </w:p>
    <w:p>
      <w:r>
        <w:rPr>
          <w:b/>
        </w:rPr>
        <w:t>E. 2.4</w:t>
      </w:r>
    </w:p>
    <w:p>
      <w:r>
        <w:t>Bei Zwischenentscheiden folgt der Rechtsweg jenem der Hauptsache. Diese betrifft ein vormundschaftliches Verfahren, das heisst eine nicht vermögensrechtliche Angelegenheit. Dagegen steht die Beschwerde in Zivilsachen offen (E. 2.1). Im Prinzip könnte das Rechtsmittel daher auch gegen den angefochtenen Zwischenentscheid ergriffen werden. Abgesehen von hier nicht zutreffenden Ausnahmen ist die Beschwerde gegen einen solchen selbständig eröffneten Zwischenentscheid aber nur zulässig, wenn die Gutheissung der Beschwerde sofort einen Endentscheid herbeiführen und damit einen bedeutenden Aufwand an Zeit und Kosten für ein weitläufiges Beweisverfahren ersparen würde ( Art. 93 Abs. 1 lit. b BGG ). Nach der Rechtsprechung obliegt es allerdings dem Beschwerdeführer darzutun, dass diese Voraussetzung erfüllt ist, es sei denn, deren Vorliegen springe geradezu in die Augen (s. BGE 133 III 629 E. 2.3.1 S. 632 und E. 2.4.2 S. 633).</w:t>
      </w:r>
    </w:p>
    <w:p>
      <w:r>
        <w:t>Die Beschwerdeführerin vertritt die - unzutreffende (E. 2.3) - Ansicht, der angefochtene Entscheid sei ein Endentscheid im Sinne von Art. 90 BGG . Sie behauptet an keiner Stelle, der vorinstanzliche Entscheid könne einen nicht wieder gutzumachenden Nachteil bewirken oder die Gutheissung seiner Beschwerde würde sofort einen Endentscheid herbeiführen und damit einen bedeutenden Aufwand an Zeit und Kosten für ein weitläufiges Beweisverfahren ersparen. Tut die Beschwerdeführerin aber überhaupt nicht dar, warum ein selbständig anfechtbarer Zwischenentscheid im Sinne von Art. 93 Abs. 1 BGG vorliegt, übersieht sie mithin diese Eintretensfrage schlechthin, so kann das Bundesgericht von vornherein nicht auf die Beschwerde eintreten (Urteil 5A_28/2011 vom 21. März 2011 E. 3.3; vgl. zur Rechtsprechung unter der Herrschaft des OG BGE 118 II 91 E. 1a S. 92).</w:t>
      </w:r>
    </w:p>
    <w:p>
      <w:r>
        <w:rPr>
          <w:b/>
        </w:rPr>
        <w:t>E. 2.5</w:t>
      </w:r>
    </w:p>
    <w:p>
      <w:r>
        <w:t>An der Qualifikation des angefochtenen Entscheids als Zwischenentscheid ändert sich im Übrigen auch nichts durch den Umstand, dass das angefochtene Rückweisungsurteil die erst- und oberinstanzlichen Kostenfolgen regelt. Denn nach der Rechtsprechung ist allein der in einem Zwischenentscheid enthaltene Richterspruch über die Kosten- und Entschädigungsfolgen nicht geeignet, im Sinne von Art. 93 Abs. 1 lit. a BGG einen nicht wieder gutzumachenden Nachteil zu bewirken ( BGE 135 III 329 E. 1.2 S. 331 ff.). Der Beschwerdeführerin ist es aber unbenommen, die Kosten- und Entschädigungsregelung im Rückweisungsurteil als Zwischenentscheid auch noch nach Ergehen des Endentscheids - gegebenenfalls selbständig - anzufechten, selbst wenn sich die Nebenfolgen des Zwischenentscheides im Grunde nicht auf den Inhalt des Endentscheides auswirken (Urteil 4A_128/2009 vom 1. Juli 2009 E. 1.3; vgl. BGE 135 III 329 a.a.O.).</w:t>
      </w:r>
    </w:p>
    <w:p>
      <w:r>
        <w:rPr>
          <w:b/>
        </w:rPr>
        <w:t>E. 3</w:t>
      </w:r>
    </w:p>
    <w:p>
      <w:r>
        <w:t>Aus den vorstehenden Erwägungen folgt, dass das Bundesgericht auf die Beschwerde insgesamt nicht eintreten kann. Bei diesem Ausgang des Verfahrens unterliegt die Beschwerdeführerin. Sie wird kostenpflichtig ( Art. 66 Abs. 1 BGG ), hat dem Beschwerdegegner aber nur eine reduzierte Entschädigung auszurichten, da dieser sowohl mit seinem Antrag auf Abweisung des Gesuchs um aufschiebende Wirkung als auch mit demjenigen auf Entzug derselben unterlegen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