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5A_403/2010 vom 8. September 2010</w:t>
      </w:r>
    </w:p>
    <w:p>
      <w:r>
        <w:t>Bundesgericht, 2010-09-08, DE</w:t>
      </w:r>
    </w:p>
    <w:p>
      <w:r>
        <w:rPr>
          <w:b/>
        </w:rPr>
        <w:t xml:space="preserve">Quelle: </w:t>
      </w:r>
      <w:r>
        <w:t>https://mcp.opencaselaw.ch/entscheid/bger_5A_403_2010</w:t>
      </w:r>
    </w:p>
    <w:p>
      <w:r>
        <w:t>FR: TF 5A_403/2010 du 8 septembre 2010</w:t>
      </w:r>
    </w:p>
    <w:p>
      <w:r>
        <w:t>IT: TF 5A_403/2010 del 8 settembre 2010</w:t>
      </w:r>
    </w:p>
    <w:p>
      <w:pPr>
        <w:pStyle w:val="Heading2"/>
      </w:pPr>
      <w:r>
        <w:t>Erwägungen</w:t>
      </w:r>
    </w:p>
    <w:p>
      <w:r>
        <w:rPr>
          <w:b/>
        </w:rPr>
        <w:t>E. 1.1</w:t>
      </w:r>
    </w:p>
    <w:p>
      <w:r>
        <w:t>Entscheide kantonaler Aufsichtsbehörden über Verfügungen der Vollstreckungsorgane gemäss Art. 17 SchKG unterliegen der Beschwerde in Zivilsachen ( Art. 72 Abs. 2 lit. a BGG i.V.m. Art. 19 SchKG ; BGE 129 III 400 E. 1.1 S. 401). Der angefochtene Entscheid stammt von der letzten kantonalen Instanz ( Art. 75 Abs. 1 BGG ) und stellt einen Endentscheid dar ( Art. 90 BGG ; BGE 135 I 187 E. 1.2 S. 189).</w:t>
      </w:r>
    </w:p>
    <w:p>
      <w:r>
        <w:rPr>
          <w:b/>
        </w:rPr>
        <w:t>E. 1.2</w:t>
      </w:r>
    </w:p>
    <w:p>
      <w:r>
        <w:t>Der Beschwerdeführer hat seine ergänzenden Eingaben vom 19. Juli 2007 und 1. September 2010 erst nach Ablauf der Rechtsmittelfrist von 10 Tagen eingereicht ( Art. 100 Abs. 2 lit. a BGG ; vgl. auch BGE 135 I 19 E. 2.2 S. 21). Darauf ist nicht einzutreten.</w:t>
      </w:r>
    </w:p>
    <w:p>
      <w:r>
        <w:rPr>
          <w:b/>
        </w:rPr>
        <w:t>E. 1.3</w:t>
      </w:r>
    </w:p>
    <w:p>
      <w:r>
        <w:t>Vor Bundesgericht dürfen keine neuen Tatsachen und Beweismittel vorgebracht werden, es sei denn, erst der Entscheid der Vorinstanz habe dazu Anlass gegeben ( Art. 99 Abs. 1 BGG ). Der Beschwerdeführer äussert sich erstmals detailliert vor Bundesgericht darüber, in welchem Zeitraum er in der Schweiz gearbeitet und wie sich seine damalige Wohn- und Familiensituation genau präsentiert habe. Zudem bringt er erstmals vor, sein Lebensmittelpunkt habe sich gar nie in der Schweiz befunden (Ziff. 2 und Ziff. 7 Abs. 2 der Beschwerde). Diese neuen Tatsachenvorbringen können nicht berücksichtigt werden, da der Beschwerdeführer Grund und Gelegenheit gehabt hätte, sie bereits vor dem Kantonsgericht vorzubringen ( BGE 136 III 123 E. 4.4.3 S. 128 f.). Die als Beweismittel neu eingereichte E-Mail des Einwohneramtes Z.________ vom 3. Mai 2010 ist nach dem angefochtenen Entscheid entstanden ( BGE 135 I 221 E. 5.2.4 S. 229 f. mit Hinweisen). Diese Tatsachen und Beweismittel sind unzulässig und nicht zu berücksichtigen.</w:t>
      </w:r>
    </w:p>
    <w:p>
      <w:r>
        <w:rPr>
          <w:b/>
        </w:rPr>
        <w:t>E. 2.1</w:t>
      </w:r>
    </w:p>
    <w:p>
      <w:r>
        <w:t>Gemäss Art. 46 Abs. 1 SchKG ist der Schuldner an seinem Wohnsitz zu betreiben. Das Betreibungsrecht knüpft hierbei an das Zivilrecht an ( Art. 23 ZGB ; in internationalen Verhältnissen Art. 20 Abs. 1 lit. a IPRG , vgl. dazu: BGE 120 III 7 E. 2a S. 8). Demnach befindet sich der Wohnsitz dort, wo sich der Schuldner mit der Absicht dauernden Verbleibens aufhält.</w:t>
      </w:r>
    </w:p>
    <w:p>
      <w:r>
        <w:rPr>
          <w:b/>
        </w:rPr>
        <w:t>E. 2.2</w:t>
      </w:r>
    </w:p>
    <w:p>
      <w:r>
        <w:t>Nach Eingang eines Betreibungsbegehrens ist es nicht Aufgabe des Betreibungsamtes, den Wohnsitz des Schuldners ausfindig zu machen. Es muss hingegen die Angaben des Gläubigers überprüfen, da die Zuständigkeit davon abhängt. Behauptet der Schuldner, er habe einen von den Angaben des Gläubigers abweichenden Wohnsitz, so ist er hiefür beweispflichtig (SCHMID, in: Basler Kommentar, 1998, N. 51 zu Art. 46 SchKG ; vgl. auch BGE 120 III 110 E. 1b S. 112).</w:t>
      </w:r>
    </w:p>
    <w:p>
      <w:r>
        <w:rPr>
          <w:b/>
        </w:rPr>
        <w:t>E. 3.1</w:t>
      </w:r>
    </w:p>
    <w:p>
      <w:r>
        <w:t>Die Beschwerde ist zu begründen ( Art. 42 Abs. 2 BGG ). Mit ihr ist in gedrängter Form durch Auseinandersetzung mit den Erwägungen des angefochtenen Entscheids darzulegen, welche Vorschriften und warum sie von der Vorinstanz verletzt worden sein sollen. Allgemein gehaltene Einwände, die ohne aufgezeigten oder erkennbaren Zusammenhang mit bestimmten Entscheidungsgründen vorgebracht werden, genügen nicht ( BGE 134 V 53 E. 3.3 S. 60).</w:t>
      </w:r>
    </w:p>
    <w:p>
      <w:r>
        <w:rPr>
          <w:b/>
        </w:rPr>
        <w:t>E. 3.2</w:t>
      </w:r>
    </w:p>
    <w:p>
      <w:r>
        <w:t>Wird eine Tatsachenfeststellung beanstandet, muss in der Beschwerdeschrift dargelegt werden, inwiefern diese willkürlich ( BGE 135 III 397 E. 1.5 S. 401) oder durch eine andere Rechtsverletzung im Sinne von Art. 95 BGG (z.B. Art. 29 Abs. 2 BV oder Art. 8 ZGB ) zustande gekommen ist und inwiefern die Behebung des Mangels für den Ausgang des Verfahrens entscheidend sein kann ( Art. 97 Abs. 1 BGG ). Auf rein appellatorische Kritik am Sachverhalt tritt das Bundesgericht nicht ein ( BGE 135 II 313 E. 5.2.2 S. 322; 135 V 39 E. 2.2 S. 41).</w:t>
      </w:r>
    </w:p>
    <w:p>
      <w:r>
        <w:rPr>
          <w:b/>
        </w:rPr>
        <w:t>E. 3.3</w:t>
      </w:r>
    </w:p>
    <w:p>
      <w:r>
        <w:t>Das Kantonsgericht hielt fest, der Beschwerdeführer sei seit dem 1. Juli 2007 in Z.________ ordentlich angemeldet. Er sei zudem als Gesellschafter und Geschäftsführer einer GmbH tätig, wobei im entsprechenden Handelsregisterauszug ebenfalls Z.________ als Wohnort angegeben werde. Der Beschwerdeführer bestreite zudem nicht, in Z.________ seinen Wohnsitz begründet zu haben.</w:t>
      </w:r>
    </w:p>
    <w:p>
      <w:r>
        <w:t>Im ganzen Verfahren habe er keine Nachweise (wie insbesondere eine Abmeldung) vorgelegt, woraus ersichtlich wäre, dass er seinen Wohnsitz zwischenzeitlich nach Deutschland verlegt habe. Mit blossen Behauptungen werde er seiner Beweisführungslast nicht gerecht. Sei damit nicht bewiesen, dass sein Lebensmittelpunkt und damit Wohnsitz neu in Deutschland liege, erweise sich die Beschwerde als unbegründet.</w:t>
      </w:r>
    </w:p>
    <w:p>
      <w:r>
        <w:rPr>
          <w:b/>
        </w:rPr>
        <w:t>E. 3.4</w:t>
      </w:r>
    </w:p>
    <w:p>
      <w:r>
        <w:t>Der Beschwerdeführer unterlässt es, sich mit dieser massgeblichen Erwägung des Kantonsgerichts substanziiert auseinanderzusetzen.</w:t>
      </w:r>
    </w:p>
    <w:p>
      <w:r>
        <w:t>Er führt dazu einzig aus, dieser Nachweis der Wohnsitzverlegung sei gar nicht erforderlich, da er seinen Lebensmittelpunkt gar nie nach Z.________ verlegt habe. Damit wendet er sich gegen die kantonsgerichtliche Tatsachenfeststellung. Soweit er sich dazu auf neue Tatsachen beruft, ist dies wie erwähnt unzulässig (vgl. E. 1.3 oben). Inwiefern die kantonsgerichtliche Feststellung, er habe in Z.________ gelebt, dort seinen Lebensmittelpunkt begründet und zudem die dortige Wohnsitzbegründung in seiner Beschwerde an das Kantonsgericht ausdrücklich anerkannt, sich im Übrigen als willkürlich erweisen soll, legt der Beschwerdeführer nicht dar und ist auch nicht ersichtlich. Tatsächlich hat der Beschwerdeführer vor Kantonsgericht selber ausgeführt, er habe in Z.________ gelebt und dort einen Wohnsitz begründet. Vor Bundesgericht begnügt er sich einzig damit, den Sachverhalt und vor allem die Wohnsituation aus seiner geänderten Sichtweise darzulegen. Damit wird er seinen Begründungsanforderungen nicht gerecht.</w:t>
      </w:r>
    </w:p>
    <w:p>
      <w:r>
        <w:rPr>
          <w:b/>
        </w:rPr>
        <w:t>E. 4</w:t>
      </w:r>
    </w:p>
    <w:p>
      <w:r>
        <w:t>Aus den dargelegten Gründen ist auf die Beschwerde nicht einzutreten. Damit trägt der Beschwerdeführer die Kosten des Verfahrens ( Art. 66 Abs. 1 BGG ). Eine Parteientschädigung an den Beschwerdegegner entfällt, da er sich zum Gesuch um aufschiebende Wirkung von vornherein nicht hat vernehmen lassen und in der Sache keine Vernehmlassung eingeholt wurde (vgl.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