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5A_402/2019 vom 17. Mai 2019</w:t>
      </w:r>
    </w:p>
    <w:p>
      <w:r>
        <w:t>Bundesgericht, 2019-05-17, DE</w:t>
      </w:r>
    </w:p>
    <w:p>
      <w:r>
        <w:rPr>
          <w:b/>
        </w:rPr>
        <w:t xml:space="preserve">Quelle: </w:t>
      </w:r>
      <w:r>
        <w:t>https://mcp.opencaselaw.ch/entscheid/bger_5A_402_2019</w:t>
      </w:r>
    </w:p>
    <w:p>
      <w:r>
        <w:t>FR: TF 5A_402/2019 du 17 mai 2019</w:t>
      </w:r>
    </w:p>
    <w:p>
      <w:r>
        <w:t>IT: TF 5A_402/2019 del 17 maggio 2019</w:t>
      </w:r>
    </w:p>
    <w:p>
      <w:pPr>
        <w:pStyle w:val="Heading2"/>
      </w:pPr>
      <w:r>
        <w:t>Erwägungen</w:t>
      </w:r>
    </w:p>
    <w:p>
      <w:r>
        <w:rPr>
          <w:b/>
        </w:rPr>
        <w:t>E. 1</w:t>
      </w:r>
    </w:p>
    <w:p>
      <w:r>
        <w:t>Angefochten ist ein kantonal letztinstanzlicher Entscheid über die vorsorgliche Entziehung des Aufenthaltsbestimmungsrechts und vorsorgliche Unterbringung des Kindes. Bei vorsorglichen Massnahmen kann das Bundesgericht den angefochtenen Entscheid nicht frei überprüfen. Vielmehr kann diesbezüglich nur eine Verletzung verfassungsmässiger Rechte geltend gemacht werden ( Art. 98 BGG ). Hierfür gilt das strenge Rügeprinzip ( Art. 106 Abs. 2 BGG ). Dies bedeutet, dass anhand der Erwägungen des angefochtenen Entscheids klar und detailliert darzulegen ist, inwiefern verfassungsmässige Rechte verletzt worden sein sollen, während rein appellatorische Ausführungen nicht genügen ( BGE 142 III 364 E. 2.4 S. 368).</w:t>
      </w:r>
    </w:p>
    <w:p>
      <w:r>
        <w:rPr>
          <w:b/>
        </w:rPr>
        <w:t>E. 2</w:t>
      </w:r>
    </w:p>
    <w:p>
      <w:r>
        <w:t>Die Beschwerdeführerin macht geltend, es bestehe keinerlei Bedarf nach einer sozialpädagogischen Familienbegleitung und B.________ müsse sofort zu ihr zurückgeführt werden, zumal B.________ dies selbst auch wolle.</w:t>
      </w:r>
    </w:p>
    <w:p>
      <w:r>
        <w:t>Diese Vorbringen genügen in einem doppelten Sinn nicht: Zum einen wird mit appellatorischen Ausführungen das Gegenteil der für das Bundesgericht verbindlichen kantonalen Sachverhaltsfeststellungen behauptet ( Art. 105 Abs. 1 BGG ) und es werden keinerlei Verfassungsrügen erhoben; zum anderen wäre in erster Linie darzutun, inwiefern die obergerichtlichen Nichteintretenserwägungen gegen verfassungsmässige Rechte verstossen haben sollen und das Obergericht die kantonale Beschwerde materiell hätte überprüfen müssen.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