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402/2013 vom 24. September 2013</w:t>
      </w:r>
    </w:p>
    <w:p>
      <w:r>
        <w:t>Bundesgericht, 2013-09-24, FR</w:t>
      </w:r>
    </w:p>
    <w:p>
      <w:r>
        <w:rPr>
          <w:b/>
        </w:rPr>
        <w:t xml:space="preserve">Quelle: </w:t>
      </w:r>
      <w:r>
        <w:t>https://mcp.opencaselaw.ch/entscheid/bger_5A_402_2013</w:t>
      </w:r>
    </w:p>
    <w:p>
      <w:r>
        <w:t>FR: TF 5A 402/2013 du 24 septembre 2013</w:t>
      </w:r>
    </w:p>
    <w:p>
      <w:r>
        <w:t>IT: TF 5A 402/2013 del 24 settembre 2013</w:t>
      </w:r>
    </w:p>
    <w:p>
      <w:pPr>
        <w:pStyle w:val="Heading2"/>
      </w:pPr>
      <w:r>
        <w:t>Regeste</w:t>
      </w:r>
    </w:p>
    <w:p>
      <w:r>
        <w:t>mesures protectrices de l'union conjugale (contribution d'entretien pour l'époux) | Droit de la famille</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p. 431; 133 III 393 consid. 4 p. 396) rendue sur renvoi par une autorité supérieure statuant en dernière instance cantonale ( art. 75 al. 1 et 2 LTF ), dans une affaire matrimoniale ( art. 72 al. 1 LTF ). Le litige porte sur le versement d'une contribution pour l'entretien de l'époux, à savoir une cause de nature pécuniaire dont la valeur litigieuse est supérieure à 30'000 fr. ( art. 51 al. 1 let. a et al. 4, art. 74 al. 1 let. b LTF ).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2</w:t>
      </w:r>
    </w:p>
    <w:p>
      <w:r>
        <w:t>Dès lors que la décision attaquée porte sur des mesures protectrices de l'union conjugale, lesquelles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III 393 consid. 5 p. 396; 133 IV 286 consid. 1.4 p. 287).</w:t>
      </w:r>
    </w:p>
    <w:p>
      <w:r>
        <w:rPr>
          <w:b/>
        </w:rPr>
        <w:t>E. 3</w:t>
      </w:r>
    </w:p>
    <w:p>
      <w:r>
        <w:t>Le recours a pour objet le versement d'une contribution pour l'entretien du mari, eu égard à l'imputation d'un revenu hypothétique à celui-ci. Rappelant qu'elle était amenée à statuer uniquement sur la détermination du revenu hypothétique que l'époux peut raisonnablement retirer d'une activité lucrative à temps complet dans les domaines du jardinage et du bâtiment, la Cour de justice a relevé que la convention collective de travail du secteur des parcs et jardins, des pépinières et de l'arboriculture du canton de Genève prévoit pour un aide jardinier de première année de pratique un salaire horaire minimal de 24 fr. 06, à savoir un salaire mensuel brut de 4'432 fr. et que la convention collective de travail romande du second oeuvre fixe le salaire horaire minimal d'un manoeuvre ou travailleur auxiliaire à 24 fr. 90, à savoir 4'425 fr. bruts par mois. L'autorité cantonale a également exposé que, par le passé, l'époux, en travaillant dans ces domaines d'activité, avait perçu un salaire horaire de 18 fr. 50 ou de 22 fr., ce qui équivaut pour un emploi à plein temps, à un salaire mensuel brut de l'ordre de 3'182 fr. (18 fr. 50 x 40 heures x 4,3 semaines), respectivement de 3'784 fr. (22 fr. x 40 heures x 4,3 semaines). Vu les conventions collectives de travail applicables dans les domaines concernés ayant force obligatoire dans le canton de Genève et imposant un salaire minimal de 24 fr. l'heure, soit 4'430 fr. bruts par mois, la Cour de justice a considéré que l'époux est habilité à exiger que sa rémunération soit au moins équivalente au montant précité et a en définitive arrêté le revenu mensuel hypothétique brut du mari à 4'430 fr., ce qui correspond à un revenu mensuel hypothétique net de 3'854 fr., après déduction des charges sociales estimées à 13% du salaire. Appliquant ensuite la méthode du minimum vital avec répartition de l'excédent qui n'a pas été critiquée devant le Tribunal fédéral, la Cour de justice est parvenue au résultat que l'épouse serait amenée à contribuer à l'entretien de son mari à hauteur de 16 fr. 70 par mois, mais elle a jugé que, compte tenu de la faible quotité du montant dû, il y avait lieu de dispenser l'épouse de contribuer à l'entretien de son mari.</w:t>
      </w:r>
    </w:p>
    <w:p>
      <w:r>
        <w:rPr>
          <w:b/>
        </w:rPr>
        <w:t>E. 4</w:t>
      </w:r>
    </w:p>
    <w:p>
      <w:r>
        <w:t>Le recourant conteste l'appréciation de la cour précédente selon laquelle il aurait la possibilité effective d'exercer une activité lucrative, exposant qu'il a été empêché de faire valoir ses droits en apportant la preuve que le marché du travail est saturé et que la possibilité de travailler n'est que théorique. Il reproche ainsi à l'autorité cantonale de ne pas avoir examiné la question de savoir s'il avait la possibilité effective d'exercer l'activité déterminée, question à laquelle il aurait été indispensable de répondre pour déterminer si le revenu fixé par les conventions collectives de travail peut lui être imputé. Le recourant précise que cette lacune est " d'autant plus choquant [e ]" que l'intimée n'aurait ni allégué, ni offert à son mari de prouver qu'il n'avait pas cette possibilité effective. A l'appui de sa critique, le recourant fait valoir l'application arbitraire ( art. 9 Cst. ) de l' art. 176 al. 1 CC .</w:t>
      </w:r>
    </w:p>
    <w:p>
      <w:r>
        <w:rPr>
          <w:b/>
        </w:rPr>
        <w:t>E. 4.1</w:t>
      </w:r>
    </w:p>
    <w:p>
      <w:r>
        <w:t>Selon la jurisprudence rendue en matière d'autorité de l'arrêt de renvoi ( ATF 135 III 334 consid. 2 p. 335 et arrêt 5A_393/2010 du 9 mars 2011 consid. 4.1), la cour cantonale est liée par ce qui a déjà été définitivement tranché par le Tribunal fédéral ( ATF 104 IV 276 consid. 3b p. 277; 103 IV 73 consid. 1 p. 74) et par les constatations de fait qui n'ont pas été attaquées devant lui ( ATF 104 IV 276 consid. 3d p. 277 s.). Les considérants de l'arrêt de renvoi lient les parties et le Tribunal fédéral lui-même ( ATF 111 II 94 consid. 2 p. 95); celles-là ne peuvent par conséquent plus faire valoir, dans un nouveau recours de droit fédéral contre la nouvelle décision cantonale, des moyens que le Tribunal fédéral avait expressément rejetés dans l'arrêt de renvoi ( ATF 133 III 201 consid. 4.2 p. 208) ou qu'il n'avait pas eu à examiner, les parties ayant omis de les invoquer dans la première procédure de recours, alors qu'elles pouvaient - et devaient - le faire ( ATF 111 II 94 consid. 2 p. 95 s. et arrêt 5A_393/2010 du 9 mars 2011 consid. 4.1).</w:t>
      </w:r>
    </w:p>
    <w:p>
      <w:r>
        <w:rPr>
          <w:b/>
        </w:rPr>
        <w:t>E. 4.2</w:t>
      </w:r>
    </w:p>
    <w:p>
      <w:r>
        <w:t>En l'occurrence, la Cour de céans, dans son arrêt de renvoi du mois de février 2013 (arrêt 5A_754/2012), a, sur recours de l'épouse, examiné la question de la fixation du montant du revenu hypothétique, non le principe-même de l'imputation d'un revenu hypothétique. Ainsi qu'elle l'a d'ailleurs rappelé dans l'arrêt attaqué ( cf. supra consid. 3), la cour cantonale était ainsi invitée, sur renvoi du Tribunal fédéral, à réexaminer uniquement la détermination du revenu hypothétique au regard de la profession et du taux d'activité que cette cour avait considéré raisonnable que le mari exerce, dès lors que la question du principe de l'imputation d'un revenu hypothétique était acquise, l'autorité cantonale ayant, dans son arrêt du 14 septembre 2012, jugé, en droit, qu'il était raisonnable que l'époux exerce une activité lucrative dans les domaines du jardinage et du bâtiment à temps plein et constaté, en fait, que celui-ci avait la possibilité effective d'exercer la profession sus-déterminée à 100%. Cette dernière constatation de fait ressortant de l'arrêt du 14 septembre 2012 de la Cour de justice lie donc les autorités cantonale et fédérale, ainsi que les parties. Le mari, qui recourt dorénavant sur le principe de l'imputation d'un revenu hypothétique eu égard à la possibilité effective qu'il a de trouver un emploi, recourt ainsi sur une question de fait qui a été définitivement jugée puisque cet aspect n'a pas fait l'objet du précédent recours au Tribunal fédéral. Le recourant n'est donc plus fondé à se plaindre du principe de l'imputation d'un revenu hypothétique dans le cadre du présent recours. Il s'ensuit que la critique de l'époux ne se rapporte pas à l'arrêt entrepris mais à l'arrêt du 14 septembre 2012 de la Cour de justice, en sorte qu'elle est irrecevable ( art. 42 al. 2 LTF ).</w:t>
      </w:r>
    </w:p>
    <w:p>
      <w:r>
        <w:rPr>
          <w:b/>
        </w:rPr>
        <w:t>E. 5</w:t>
      </w:r>
    </w:p>
    <w:p>
      <w:r>
        <w:t>Vu ce qui précède, le recours est irrecevable. Les conclusions du recourant étant d'emblée dépourvues de toute chance de succès, sa requête d'assistance judiciaire pour la procédure fédérale ne saurait être agréée ( art. 64 LTF ). Le recourant, qui succombe, supportera les frais judiciaires ( art. 66 al. 1 LTF ). L'intimée n'a pas droit à une indemnité de dépens, dès lors qu'elle n'a pas été invitée à déposer une réponse sur le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