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401/2014 vom 18. August 2014</w:t>
      </w:r>
    </w:p>
    <w:p>
      <w:r>
        <w:t>Bundesgericht, 2014-08-18, FR</w:t>
      </w:r>
    </w:p>
    <w:p>
      <w:r>
        <w:rPr>
          <w:b/>
        </w:rPr>
        <w:t xml:space="preserve">Quelle: </w:t>
      </w:r>
      <w:r>
        <w:t>https://mcp.opencaselaw.ch/entscheid/bger_5A_401_2014</w:t>
      </w:r>
    </w:p>
    <w:p>
      <w:r>
        <w:t>FR: TF 5A 401/2014 du 18 août 2014</w:t>
      </w:r>
    </w:p>
    <w:p>
      <w:r>
        <w:t>IT: TF 5A 401/2014 del 18 agosto 2014</w:t>
      </w:r>
    </w:p>
    <w:p>
      <w:pPr>
        <w:pStyle w:val="Heading2"/>
      </w:pPr>
      <w:r>
        <w:t>Regeste</w:t>
      </w:r>
    </w:p>
    <w:p>
      <w:r>
        <w:t>mesures protectrices de l'union conjugale | Droit de la famille</w:t>
      </w:r>
    </w:p>
    <w:p>
      <w:pPr>
        <w:pStyle w:val="Heading2"/>
      </w:pPr>
      <w:r>
        <w:t>Erwägungen</w:t>
      </w:r>
    </w:p>
    <w:p>
      <w:r>
        <w:rPr>
          <w:b/>
        </w:rPr>
        <w:t>E. 1</w:t>
      </w:r>
    </w:p>
    <w:p>
      <w:r>
        <w:t>L'arrêt entrepris est une décision finale ( art. 90 LTF ; ATF 133 III 393 consid. 4) rendue en matière civile ( art. 72 al. 1 LTF ), de nature non pécuniaire, prise sur recours par un tribunal supérieur statuant en dernière instance cantonale ( art. 75 al. 1 et 2 LTF ). Le recours a en outre été interjeté dans le délai ( art. 100 al. 1 LTF ) et la forme ( art. 42 LTF ) prévus par la loi, par une partie ayant pris part à la procédure devant l'autorité précédente et ayant un intérêt digne de protection à l'annulation ou à la modification de la décision attaquée ( art. 76 al. 1 LTF ). Au regard de ces dispositions, le recours est donc recevable.</w:t>
      </w:r>
    </w:p>
    <w:p>
      <w:r>
        <w:rPr>
          <w:b/>
        </w:rPr>
        <w:t>E. 2</w:t>
      </w:r>
    </w:p>
    <w:p>
      <w:r>
        <w:t>Dès lors que la décision attaquée porte sur la modification de mesures protectrices de l'union conjugale ( art. 179 CC ), soit de mesures provisionnelles au sens de l' art. 98 LTF ( ATF 133 III 393 consid. 5), le Tribunal fédéral dispose d'un pouvoir d'examen limité, seule la violation des droits constitutionnels pouvant être invoquée ( ATF 134 I 83 consid. 3.2; 133 III 589 consid. 2). Le Tribunal fédéral n'examine de tels griefs que s'ils ont été invoqués et motivés conformément au principe d'allégation ( art. 106 al. 2 LTF ), à savoir expressément soulevés et exposés de manière claire et détaillée ( ATF 139 I 229 consid. 2.2; 134 I 83 précité; 133 II 249 consid. 1.4.2). Les critiques de nature appellatoire sont irrecevables ( ATF 133 III 589 consid. 2).</w:t>
      </w:r>
    </w:p>
    <w:p>
      <w:r>
        <w:rPr>
          <w:b/>
        </w:rPr>
        <w:t>E. 3</w:t>
      </w:r>
    </w:p>
    <w:p>
      <w:r>
        <w:t>Le recourant se plaint de la violation de l' art. 9 Cst. dans l'application des art. 273 s. CC en tant que son droit de visite doit s'exercer de manière surveillée au Point Rencontre.</w:t>
      </w:r>
    </w:p>
    <w:p>
      <w:r>
        <w:rPr>
          <w:b/>
        </w:rPr>
        <w:t>E. 3.1</w:t>
      </w:r>
    </w:p>
    <w:p>
      <w:r>
        <w:t>L'autorité cantonale a considéré que le signalement donné par la psychologue G.________, plusieurs mois après les déclarations du Dr F.________, attestait que l'évolution de l'enfant aîné n'était pas bonne et qu'il était vraisemblable qu'elle était en relation directe avec le comportement du père, qui apparaissait envahi par un mysticisme qui prenait le pas sur sa raison. Il résultait par ailleurs des pièces que, même lorsqu'il s'adressait à des tiers (autorité judiciaire, personnel médical), le recourant revenait sur des thèmes qui lui étaient chers, de sorte qu'on ne pouvait pas admettre qu'il était en mesure de faire la part des choses entre une éducation religieuse normale et ses convictions plus personnelles mettant en évidence des idées délirantes. Au stade de la vraisemblance, il paraissait inimaginable que le recourant parvînt à s'en tenir à un discours limité lorsqu'il s'agissait d'éduquer ses enfants dans la foi catholique, tant ses convictions religieuses, objectivement terrorisantes en ce qu'elles se référaient systématiquement à l'Apocalypse, au Jugement dernier ou à l'expiation des fautes, semblaient l'obséder. Son courrier du 24 décembre 2013 faisait référence directe à la fin du monde dès lors qu'il enjoignait les enfants à garder le " bébé Jésus " dans leur poche " jusqu'à ce qu'il revienne dans environ quatre ans ". En outre, dans celui du 11 janvier 2014, le recourant faisait croire à ses enfants qu'un dragon qui avait " beaucoup d'argent " l'empêchait de les voir, alors qu'il avait renoncé à se rendre au Point Rencontre, préférant ne pas rencontrer ses enfants tant que le droit de visite s'exerçait par ce biais. Il apparaissait ainsi comme une personne intransigeante, autoritaire et culpabilisante. Par ailleurs, le recourant ne parvenait pas à dissocier le conflit parental des questions relatives aux enfants, ce que le SPJ avait d'ailleurs déjà constaté en avril 2013, allant jusqu'à intégrer dans son récit de Noël des questions liées à la liquidation de son patrimoine (référence à une " grosse somme d'argent " et au fait que " maman enverra les papiers à papa pour authentifier cet Acte d'Amour "). Enfin, le recourant, qui ne semblait pas comprendre que les idées de fin du monde et de pénitence systématique pouvaient s'avérer traumatisantes, avait une attitude à l'évidence néfaste pour le développement des enfants qui faisait craindre le pire. Il se justifiait donc de protéger les enfants jusqu'aux conclusions de l'expertise pédopsychiatrique et de confirmer la décision du premier juge.</w:t>
      </w:r>
    </w:p>
    <w:p>
      <w:r>
        <w:rPr>
          <w:b/>
        </w:rPr>
        <w:t>E. 3.2.1</w:t>
      </w:r>
    </w:p>
    <w:p>
      <w:r>
        <w:t>Selon l' art. 179 al. 1 1 ère phr. CC - qui n'a pas été modifiée par la révision du Code civil du 21 juin 2013 entrée en vigueur le 1 er juillet 2014 -, à la requête d'un époux, le juge ordonne les modifications commandées par les faits nouveaux et rapporte les mesures prises lorsque les causes qui les ont déterminées n'existent plus. Cette norme exige un fait nouveau et l'action en modification ne doit pas aboutir à recommencer la procédure de mesures protectrices; il faut au contraire un changement notable des circonstances qui impose impérativement, pour le bien de l'enfant, une modification de la réglementation adoptée dans le précédent jugement. Cependant, cela ne signifie pas que la modification de la réglementation du droit de visite doive être soumise à des exigences particulièrement strictes. Il suffit que le pronostic du premier juge sur les effets des relations personnelles entre le parent auquel la garde n'a pas été confiée et l'enfant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(en matière de divorce: cf. ATF 111 II 405 consid. 3; arrêts 5A_756/2013 du 9 janvier 2014 consid. 5.1.1; 5A_120/2013 du 23 mai 2013 consid. 2.1.1). Si le juge admet l'existence d'un fait nouveau, et décide donc d'entrer en matière sur la requête en modification, les dispositions relatives aux effets de la filiation s'appliquent (cf. art. 176 al. 2 CC ), à savoir l' art. 273 CC pour le principe des relations personnelles et l' art. 274 CC pour les limites de celles-ci.</w:t>
      </w:r>
    </w:p>
    <w:p>
      <w:r>
        <w:rPr>
          <w:b/>
        </w:rPr>
        <w:t>E. 3.2.2</w:t>
      </w:r>
    </w:p>
    <w:p>
      <w:r>
        <w:t>Si les relations personnelles ( art. 273 al. 1 CC )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Ce refus ou ce retrait ne peut être demandé que si le bien de l'enfant l'exige impérieusement et qu'il est impossible de trouver une réglementation du droit de visite qui sauvegarde ses intérêts: la règle a pour objet de protéger l'enfant, et non de punir les parents.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 ATF 122 III 404 consid. 3b; arrêts 5A_505/2013 du 20 août 2013 consid. 2.3, publié in FamPra.ch 2013 p. 1045; 5A_586/2012 du 12 décembre 2012 consid. 4.2, publié in FamPra.ch 2013 p. 510). L'établissement d'un droit de visite surveillé, comme le refus ou le retrait du droit aux relations personnelles selon l' art. 274 al. 2 CC , nécessite des indices concrets de mise en danger du bien de l'enfant. Il ne suffit pas que ce dernier risque abstraitement de subir une mauvaise influence pour qu'un droit de visite surveillé soit instauré ( ATF 122 III 404 consid. 3c; arrêts 5A_377/2009 du 3 septembre 2009 consid. 5.2, publié in SJ 2010 I p. 314 et in FamPra.ch 2010 p. 209; 5A_699/2007 du 26 février 2008 consid. 2.1, publié in FamPra.ch 2008 p. 695; 5C.58/2004 du 14 juin 2004 consid. 2.1.2). Pour régler le droit de visite, le juge du fait dispose d'un pouvoir d'appréciation dont le Tribunal fédéral contrôle l'exercice dans le cadre de mesures provisionnelles selon l' art. 98 LTF avec une cognition limitée à l'arbitraire. Le Tribunal fédéral n'intervient que si le juge a abusé du pouvoir d'appréciation qui lui est accordé, ou s'il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109 Ia 107 consid. 2c; arrêt 5A_699/2007 du 26 février 2008 consid. 2.2, publié in FamPra.ch 2008 p. 695).</w:t>
      </w:r>
    </w:p>
    <w:p>
      <w:r>
        <w:rPr>
          <w:b/>
        </w:rPr>
        <w:t>E. 3.3</w:t>
      </w:r>
    </w:p>
    <w:p>
      <w:r>
        <w:t>En l'espèce, le recourant ne démontre en rien l'arbitraire de la décision attaquée. En effet, il se base sur des rapports datant d'avril 2013 pour soutenir que l'évolution des enfants ne présente aucun problème, alors que l'autorité cantonale s'est fondée sur un rapport postérieur, de septembre 2013, rendu précisément à l'époque où le recourant a envoyé à l'intimée des courriers à la teneur alarmante, et émet de vagues hypothèses sur la façon dont se serait déroulé l'examen de la psychologue G.________. Il soutient que l'autorité cantonale s'est avant tout fondée sur les déclarations de l'intimée relatées par cette thérapeute, alors qu'elle s'est au contraire principalement penchée sur ses propres écrits et son comportement pour apprécier la situation. Il se borne à présenter sa propre interprétation de ses courriers adressés aux enfants, pour soutenir que ceux-ci sont des " contes pour enfants dont le but est d'inculquer les valeurs nobles du Christianisme ", alors qu'on ne peut reprocher à l'autorité cantonale d'avoir versé dans l'arbitraire en les considérant comme objectivement terrorisants pour des enfants de cet âge et extrêmement radicaux. Enfin, il soutient que l'autorité cantonale aurait versé dans l'arbitraire en ne se basant pas uniquement sur les courriers adressés aux enfants, mais aussi sur ceux adressés à des tiers, alors qu'elle était parfaitement fondée à évaluer le comportement du recourant sur la base de ces écrits-là, ceux-ci étant pertinents pour cerner dans quelle mesure le mysticisme du recourant envahit complètement son rapport à autrui ainsi que sa compréhension du monde et de l'existence. C'est donc sans arbitraire que l'autorité cantonale a considéré vraisemblable que le recourant ne sait pas faire la part des choses entre une éducation religieuse adaptée à de jeunes enfants et l'inculcation de ses convictions personnelles concrètement susceptibles de porter atteinte au bien-être psychique de ceux-ci. Au vu de ce qui précède, le grief de la violation de l' art. 9 Cst. dans l'application des art. 273 s. CC doit être rejeté, pour autant qu'il soit recevable.</w:t>
      </w:r>
    </w:p>
    <w:p>
      <w:r>
        <w:rPr>
          <w:b/>
        </w:rPr>
        <w:t>E. 4</w:t>
      </w:r>
    </w:p>
    <w:p>
      <w:r>
        <w:t>Le recourant se plaint encore de la violation de l' art. 9 Cst. dans l'application de l' art. 303 al. 1 CC et de celle de l' art. 15 Cst. Il affirme que l'autorité cantonale s'immisce dans l'éducation religieuse qu'il prodigue à ses enfants alors que cette éducation ne leur porterait aucun préjudice.</w:t>
      </w:r>
    </w:p>
    <w:p>
      <w:r>
        <w:rPr>
          <w:b/>
        </w:rPr>
        <w:t>E. 4.1</w:t>
      </w:r>
    </w:p>
    <w:p>
      <w:r>
        <w:t>Aux termes de l' art. 303 al. 1 CC , les père et mère disposent de l'éducation religieuse de l'enfant. Il s'agit d'une composante de l'autorité parentale que conserve le parent qui se voit retirer le droit de garde seulement. La faculté des parents de décider de l'éducation religieuse de leurs enfants est une composante de leur propre liberté de conscience et de croyance, garantie par l' art. 15 al. 1 Cst. ( ATF 129 III 689 consid. 1.2).</w:t>
      </w:r>
    </w:p>
    <w:p>
      <w:r>
        <w:rPr>
          <w:b/>
        </w:rPr>
        <w:t>E. 4.2</w:t>
      </w:r>
    </w:p>
    <w:p>
      <w:r>
        <w:t>En l'espèce, l'autorité cantonale a précisément retenu que le discours du recourant et son prosélytisme mettaient en danger le bien-être des enfants, sans que celui-ci ne démontre l'arbitraire de cette appréciation. Elle devait par ailleurs tenir compte de ce bien-être pour régler les relations personnelles (cp. arrêt 5C.146/2003 du 23 septembre 2003 consid. 4, non publié aux ATF 129 III 689 ). Ainsi, les griefs soulevés par le recourant deviennent sans objet et doivent être rejetés, pour autant que recevables.</w:t>
      </w:r>
    </w:p>
    <w:p>
      <w:r>
        <w:rPr>
          <w:b/>
        </w:rPr>
        <w:t>E. 5</w:t>
      </w:r>
    </w:p>
    <w:p>
      <w:r>
        <w:t>En conclusion, le recours doit être rejeté, dans la mesure où il est recevable. Les frais judiciaires, arrêtés à 3'000 fr., sont mis à la charge du recourant qui succombe ( art. 66 al. 1 LTF ). Des dépens ne sont pas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