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5A_400/2026 vom 15. Mai 2026</w:t>
      </w:r>
    </w:p>
    <w:p>
      <w:r>
        <w:t>Bundesgericht, 2026-05-15, DE</w:t>
      </w:r>
    </w:p>
    <w:p>
      <w:r>
        <w:rPr>
          <w:b/>
        </w:rPr>
        <w:t xml:space="preserve">Quelle: </w:t>
      </w:r>
      <w:r>
        <w:t>https://mcp.opencaselaw.ch/entscheid/bger_5A_400_2026</w:t>
      </w:r>
    </w:p>
    <w:p>
      <w:r>
        <w:t>FR: TF 5A_400/2026 du 15 mai 2026</w:t>
      </w:r>
    </w:p>
    <w:p>
      <w:r>
        <w:t>IT: TF 5A_400/2026 del 15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Entscheid betreffend die Errichtung einer Beistandschaft; die Beschwerde in Zivilsachen steht offen (Art. 72 Abs. 2 lit. b Ziff. 6, Art. 75 Abs. 1 und Art. 90 BGG ).</w:t>
      </w:r>
    </w:p>
    <w:p>
      <w:r>
        <w:rPr>
          <w:b/>
        </w:rPr>
        <w:t>E. 2</w:t>
      </w:r>
    </w:p>
    <w:p>
      <w:r>
        <w:t>Der von der Vorinstanz festgestellte Sachverhalt ist für das Bundesgericht grundsätzlich verbindlich ( Art. 105 Abs. 1 BGG ). Diesbezüglich könnte höchstens eine willkürliche Sachverhaltsfeststellung gerügt werden, für welche das strenge Rügeprinzip gilt ( Art. 97 Abs. 1 und Art. 106 Abs. 2 BGG ). In rechtlicher Hinsicht hat die Beschwerde eine Begründung zu enthalten, in welcher in gedrängter Form dargelegt wird, inwiefern der angefochtene Entscheid Recht verletzt ( Art. 42 Abs. 2 BGG ), was eine sachbezogene Auseinandersetzung mit dessen Begründung erfordert (vgl. BGE 142 III 364 E. 2.4).</w:t>
      </w:r>
    </w:p>
    <w:p>
      <w:r>
        <w:rPr>
          <w:b/>
        </w:rPr>
        <w:t>E. 3</w:t>
      </w:r>
    </w:p>
    <w:p>
      <w:r>
        <w:t>Der Beschwerdeführer setzt sich mit der ausführlichen Begründung im 15-seitigen angefochtenen Entscheid nicht auseinander. Er beschränkt sich auf wenige abstrakt vorgetragene Behauptungen (primär: er sei sehr wohl in der Lage, seine Finanzen selbst zu regeln), welche den für das Bundesgericht verbindlich festgestellten Sachverhalt betreffen.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