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5A_400/2022 vom 7. März 2023</w:t>
      </w:r>
    </w:p>
    <w:p>
      <w:r>
        <w:t>Bundesgericht, 2023-03-07, DE</w:t>
      </w:r>
    </w:p>
    <w:p>
      <w:r>
        <w:rPr>
          <w:b/>
        </w:rPr>
        <w:t xml:space="preserve">Quelle: </w:t>
      </w:r>
      <w:r>
        <w:t>https://mcp.opencaselaw.ch/entscheid/bger_5A_400_2022</w:t>
      </w:r>
    </w:p>
    <w:p>
      <w:r>
        <w:t>FR: TF 5A_400/2022 du 7 mars 2023</w:t>
      </w:r>
    </w:p>
    <w:p>
      <w:r>
        <w:t>IT: TF 5A_400/2022 del 7 marzo 2023</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2</w:t>
      </w:r>
    </w:p>
    <w:p>
      <w:r>
        <w:t>Die Vorinstanz hat erwogen, der Beschwerdeführer nehme bereits gefällte Entscheide einfach nicht zur Kenntnis. Im Urteil der Aufsichtsbehörde vom 1. April 2021 (SCBES.2021.6) sei ausführlich dargelegt worden, wieso der Mietvertrag vom 31. Juli 2020 ein rechtsmissbräuchliches Konstrukt sei und deshalb nicht darauf abgestellt werden könne. Der Beschwerdeführer übersehe sodann geflissentlich, dass in seiner Existenzminimumsberechnung für die Nebenkosten ein Betrag von Fr. 470.50 abzüglich eines Drittels für den Sohn, also Fr. 313.70, eingesetzt und berücksichtigt worden sei. Der Beschwerdeführer sei mehrfach darauf aufmerksam gemacht worden, dass ihm ein allfälliger Fehlbetrag ausgeglichen werde, wenn er nach Jahresablauf mit Belegen nachweisen könne, dass die effektiven Kosten höher gewesen seien. Dennoch berufe sich der Beschwerdeführer erneut auf den rechtsmissbräuchlichen Mietvertrag und versuche die Heizkosten mit einer nicht unterschriebenen Abrechnung seines Sohnes, der bereits beim rechtsmissbräuchlichen Mietvertrag mitgewirkt habe, geltend zu machen. Jedenfalls in Bezug auf die Heizkosten sei die Beschwerde mutwillig und rechtsmissbräuchlich. Der kleine Unterhalt sei im pauschalen Liegenschaftsaufwand mitenthalten. In der vorliegenden Existenzminimumsberechnung sei der Liegenschaftsaufwand unter der Position "Nebenkosten" aufgeführt. Ob der kleine Unterhalt letztlich aus dem Grundbetrag oder aus dem pauschalen Liegenschaftsaufwand zu bestreiten sei, brauche aber gar nicht entschieden zu werden. Ein Zuschlag für den kleinen Unterhalt werde so oder so nicht gewährt.</w:t>
      </w:r>
    </w:p>
    <w:p>
      <w:r>
        <w:rPr>
          <w:b/>
        </w:rPr>
        <w:t>E. 3</w:t>
      </w:r>
    </w:p>
    <w:p>
      <w:r>
        <w:t>Soweit sich die Rügen des Beschwerdeführers nicht gegen den angefochtenen Entscheid, sondern gegen das von ihm damals nicht angefochtene Urteil SCBES.2021.6 vom 1. April 2021 richten, ist er damit von vornherein nicht zu hören. Der Beschwerdeführer kann somit einen Rückerstattungsanspruch nicht damit begründen, dass der mit seinen Söhnen abgeschlossene Mietvertrag vom 31. Juli 2020 nicht rechtsmissbräuchlich sei und vom Betreibungsamt bei der Ermittlung seines Existenzminimums hätte beachtet werden müssen. Hinsichtlich des geltend gemachten Betrags für den kleinen Unterhalt mangelt es an einer Auseinandersetzung mit der vorinstanzlichen Hauptbegründung, dass der kleine Unterhalt vorliegend in der Position "Nebenkosten" mitenthalten sei. Der Beschwerdeführer geht sodann nicht auf die Erwägung der Vorinstanz ein, dass lediglich effektive Kosten, die den ihm vom Betreibungsamt für die Nebenkosten zugestandenen pauschalen Betrag übersteigen, gegen Vorlage entsprechender Belege zurückerstattet werden könnten. Was schliesslich die Rüge der Verletzung von Art. 20a Abs. 2 Ziff. 5 SchKG anbelangt, hat die Vorinstanz im vorliegenden Fall von einer Kostenauflage noch abgesehen, womit der Beschwerdeführer insoweit nicht beschwert ist (vgl. BGE 130 III 321 E. 6; Urteil 5A_272/2013 vom 29. Mai 2013 E. 6.3.3). Somit ist auf die unzulässige bzw. keine hinreichende Begründung enthaltende Beschwerde nicht einzutreten.</w:t>
      </w:r>
    </w:p>
    <w:p>
      <w:r>
        <w:rPr>
          <w:b/>
        </w:rPr>
        <w:t>E. 4</w:t>
      </w:r>
    </w:p>
    <w:p>
      <w:r>
        <w:t>Bei diesem Ausgang des Verfahrens wird der Beschwerdeführer kosten-, nicht hingegen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