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3/2012 vom 21. Februar 2012</w:t>
      </w:r>
    </w:p>
    <w:p>
      <w:r>
        <w:t>Bundesgericht, 2012-02-21, DE</w:t>
      </w:r>
    </w:p>
    <w:p>
      <w:r>
        <w:rPr>
          <w:b/>
        </w:rPr>
        <w:t xml:space="preserve">Quelle: </w:t>
      </w:r>
      <w:r>
        <w:t>https://mcp.opencaselaw.ch/entscheid/bger_5A_3_2012</w:t>
      </w:r>
    </w:p>
    <w:p>
      <w:r>
        <w:t>FR: TF 5A 3/2012 du 21 février 2012</w:t>
      </w:r>
    </w:p>
    <w:p>
      <w:r>
        <w:t>IT: TF 5A 3/2012 del 21 febbraio 2012</w:t>
      </w:r>
    </w:p>
    <w:p>
      <w:pPr>
        <w:pStyle w:val="Heading2"/>
      </w:pPr>
      <w:r>
        <w:t>Regeste</w:t>
      </w:r>
    </w:p>
    <w:p>
      <w:r>
        <w:t>Stockwerkeigentum (Prozessfähigkeit) | Sachenrecht</w:t>
      </w:r>
    </w:p>
    <w:p>
      <w:pPr>
        <w:pStyle w:val="Heading2"/>
      </w:pPr>
      <w:r>
        <w:t>Erwägungen</w:t>
      </w:r>
    </w:p>
    <w:p>
      <w:r>
        <w:rPr>
          <w:b/>
        </w:rPr>
        <w:t>E. 1</w:t>
      </w:r>
    </w:p>
    <w:p>
      <w:r>
        <w:t>Die Beschwerdeführerin bezeichnet ihr Rechtsmittel nicht näher. Ob ihre Eingabe als Beschwerde in Zivilsachen oder als subsidiäre Verfassungsbeschwerde entgegenzunehmen ist, hängt vom Streitwert ab: Angefochten ist der kantonal letztinstanzliche Endentscheid in einer vermögensrechtlichen Zivilsache ( Art. 72 Abs. 1, Art. 75 Abs. 1 und Art. 90 BGG ), so dass für die Beschwerde in Zivilsachen ein Mindeststreitwert von Fr. 30'000.-- erforderlich ist ( Art. 74 Abs. 1 lit. b BGG ), soweit keine Rechtsfrage von grundsätzlicher Bedeutung dargetan ist ( Art. 74 Abs. 2 lit. a BGG ).</w:t>
      </w:r>
    </w:p>
    <w:p>
      <w:r>
        <w:rPr>
          <w:b/>
        </w:rPr>
        <w:t>E. 2</w:t>
      </w:r>
    </w:p>
    <w:p>
      <w:r>
        <w:t>Der Streitwert beträgt Fr. 18'443.--, weshalb die Beschwerdeführerin geltend macht, das vorliegende Verfahren sei mit dem Parallelverfahren 5A_2/2012 zu verbinden, so dass der Streitwert über Fr. 30'000.-- ausmache. Zwar liegt beiden Fällen ein analoger Sachverhalt zugrunde. Indes richtet sich das Verfahren 5A_2/2012 gegen eine andere Partei. Diese ist nicht für die gleiche Forderung als Solidarschuldnerin, sondern für eine eigene Forderung beklagt, weshalb kein identischer Streitgegenstand vorliegt. So wurden denn auch vor beiden kantonalen Instanzen getrennte Verfahren geführt und unabhängige Entscheide gefällt. Eine Verfahrensvereinigung vor Bundesgericht ist deshalb nicht angezeigt.</w:t>
      </w:r>
    </w:p>
    <w:p>
      <w:r>
        <w:rPr>
          <w:b/>
        </w:rPr>
        <w:t>E. 3</w:t>
      </w:r>
    </w:p>
    <w:p>
      <w:r>
        <w:t>Die Beschwerdeführerin behauptet weiter, es liege eine Rechtsfrage von grundsätzlicher Bedeutung vor. In der Beschwerde wäre infolge der Begründungpflicht ( Art. 42 Abs. 2 BGG ) jedoch darzutun, inwiefern die Voraussetzungen von Art. 74 Abs. 2 lit. a BGG erfüllt sein sollen ( BGE 133 III 439 E. 2.2.2.1 S. 442; 133 III 645 E. 2.4 S. 648). So ist insbesondere dazu Stellung zu nehmen, dass und inwiefern mit Blick auf die Schaffung von Rechtssicherheit ein allgemeines Interesse an der höchstrichterlichen Klärung einer umstrittenen Frage besteht ( BGE 133 III 645 E. 2.4 S. 649; 135 III 1 E. 1.3 S. 4, 397 E. 1.2) und die entsprechende Frage infolge der Streitwertgrenze vom Bundesgericht kaum je im Zusammenhang mit einem anderen Fall geklärt werden könnte ( BGE 134 III 267 E. 1.2.3 S. 271). Die Beschwerdeführerin äussert sich mit keinem einzigen Wort zu diesen Erfordernissen, was zur Folge hat, dass auf die Beschwerde in Zivilsachen nicht eingetreten werden kann ( BGE 133 III 439 E. 2.2.2.1 S. 442).</w:t>
      </w:r>
    </w:p>
    <w:p>
      <w:r>
        <w:rPr>
          <w:b/>
        </w:rPr>
        <w:t>E. 4</w:t>
      </w:r>
    </w:p>
    <w:p>
      <w:r>
        <w:t>Soweit die Beschwerde in Zivilsachen nicht gegeben ist, greift die subsidiäre Verfassungsbeschwerde ( Art. 113 BGG ). Mit ihr können jedoch einzig Verfassungsverletzungen gerügt werden ( Art. 116 BGG ), wofür das strenge Rügeprinzip gilt (Art. 106 Abs. 2 i.V.m. 117 BGG). Das bedeutet, dass das Bundesgericht nur klar und detailliert erhobene und soweit möglich belegte Verfassungsrügen prüft, während es auf ungenügend begründete Vorbringen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 Beschwerdeführerin nennt keine einzige Verfassungsnorm und zeigt auch inhaltlich nicht auf, inwiefern eine solche verletzt sein könnte. Sie beschränkt sich auf rein appellatorische Kritik am angefochtenen Entscheid, indem sie ausführt, dass die - auf WERMELINGER, Zürcher Kommentar, N. 59 zu Art. 712l, abgestützte - Auffassung der kantonalen Gerichte in verschiedener Hinsicht zu unhaltbaren Zuständen führen würde (ungeklärte Situationen, verschmutzte Anlagen, verlotterte Zufahrten, etc., da Stockwerkeigentümergemeinschaften in der Regel nicht organisiert seien und deshalb notwendige Massnahmen nicht ergriffen würden; im Übrigen gebe es Gesetzeslücken, die richterlich zu füllen seien). Damit ist keine Verfassungsverletzung darzutun und infolgedessen kann auch auf die subsidiäre Verfassungsbeschwerde nicht eingetreten werden.</w:t>
      </w:r>
    </w:p>
    <w:p>
      <w:r>
        <w:rPr>
          <w:b/>
        </w:rPr>
        <w:t>E. 5</w:t>
      </w:r>
    </w:p>
    <w:p>
      <w:r>
        <w:t>Bei vorgenanntem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