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5A_39/2025 vom 22. Januar 2025</w:t>
      </w:r>
    </w:p>
    <w:p>
      <w:r>
        <w:t>Bundesgericht, 2025-01-22, FR</w:t>
      </w:r>
    </w:p>
    <w:p>
      <w:r>
        <w:rPr>
          <w:b/>
        </w:rPr>
        <w:t xml:space="preserve">Quelle: </w:t>
      </w:r>
      <w:r>
        <w:t>https://mcp.opencaselaw.ch/entscheid/bger_5A_39_2025</w:t>
      </w:r>
    </w:p>
    <w:p>
      <w:r>
        <w:t>FR: TF 5A_39/2025 du 22 janvier 2025</w:t>
      </w:r>
    </w:p>
    <w:p>
      <w:r>
        <w:t>IT: TF 5A_39/2025 del 22 gennaio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Statuant le 12 juin 2024 par voie de mesures superprovisionnelles (DTAE/4011/2024), le Tribunal de protection de l'adulte et de l'enfant du canton de Genève a ordonné le placement à des fins d'assistance de A.________. Par ordonnance prise le même jour (DTAE/4042/2024), il a en outre ordonné l'expertise psychiatrique de la prénommée. Par courriel du 8 juillet 2024, celle-ci a demandé la levée du placement.</w:t>
      </w:r>
    </w:p>
    <w:p>
      <w:r>
        <w:rPr>
          <w:b/>
        </w:rPr>
        <w:t>E. 1.2</w:t>
      </w:r>
    </w:p>
    <w:p>
      <w:r>
        <w:t>Par ordonnance du 16 juillet 2024 (DTAE/5119/2024), le Tribunal de protection a confirmé le placement à des fins d'assistance (ch. 1) et sursis à son exécution, moyennant diverses conditions (ch. 2-3).</w:t>
      </w:r>
    </w:p>
    <w:p>
      <w:r>
        <w:t>Par décision du 25 juillet 2024, la Chambre de surveillance de la Cour de justice du canton de Genève a rejeté les recours interjetés contre cette décision par la personne concernée et le Service de protection de l'adulte (SPAd).</w:t>
      </w:r>
    </w:p>
    <w:p>
      <w:r>
        <w:rPr>
          <w:b/>
        </w:rPr>
        <w:t>E. 2</w:t>
      </w:r>
    </w:p>
    <w:p>
      <w:r>
        <w:t>Par acte du 15 décembre 2024 - transmis le 18 décembre 2024 par la juridiction cantonale -, la personne concernée "</w:t>
      </w:r>
    </w:p>
    <w:p>
      <w:r>
        <w:t>sollicite une restitution de délai auprès du Tribunal fédéral ".</w:t>
      </w:r>
    </w:p>
    <w:p>
      <w:r>
        <w:rPr>
          <w:b/>
        </w:rPr>
        <w:t>E. 3</w:t>
      </w:r>
    </w:p>
    <w:p>
      <w:r>
        <w:t>En l'occurrence, la requérante - autant que son écriture est par ailleurs intelligible - entend obtenir la "</w:t>
      </w:r>
    </w:p>
    <w:p>
      <w:r>
        <w:t>restitution du délai " de recours aux fins de recourir contre la décision prise le 25 juillet 2024 par la Chambre de surveillance; cette décision lui a été notifiée le 5 août suivant, de sorte qu'un recours serait amplement tardif ( art. 100 al. 1 LTF ). L'écriture de l'intéressée doit dès lors être traitée en tant que requête en restitution de délai au sens de l' art. 50 al. 1 LTF .</w:t>
      </w:r>
    </w:p>
    <w:p>
      <w:r>
        <w:rPr>
          <w:b/>
        </w:rPr>
        <w:t>E. 3.1</w:t>
      </w:r>
    </w:p>
    <w:p>
      <w:r>
        <w:t>En l'espèce, la requérante expose que l'absence de mesures par les autorités de protection en vue de soigner sa "</w:t>
      </w:r>
    </w:p>
    <w:p>
      <w:r>
        <w:t>candidose " au moyen de "</w:t>
      </w:r>
    </w:p>
    <w:p>
      <w:r>
        <w:t>probiotiques " a eu des "</w:t>
      </w:r>
    </w:p>
    <w:p>
      <w:r>
        <w:t>conséquences sur ses droits ", notamment sur sa possibilité "</w:t>
      </w:r>
    </w:p>
    <w:p>
      <w:r>
        <w:t>d'exercer un recours devant le Tribunal fédéral ".</w:t>
      </w:r>
    </w:p>
    <w:p>
      <w:r>
        <w:t>Il est vrai que la maladie peut, dans certaines circonstances, constituer un motif de restitution de délai (</w:t>
      </w:r>
    </w:p>
    <w:p>
      <w:r>
        <w:t>cf . FRÉSARD,</w:t>
      </w:r>
    </w:p>
    <w:p>
      <w:r>
        <w:t>in : Commentaire de la LTF, 3e éd., 2022, n° 11 ad art. 50 LTF et les références). Fondée sur de simples allégations, l'argumentation de la requérante n'est cependant pas apte à prouver que la "</w:t>
      </w:r>
    </w:p>
    <w:p>
      <w:r>
        <w:t>candidose " dont elle se dit affectée l'aurait empêchée de respecter le délai de recours pour s'adresser au Tribunal fédéral. Il y a d'autant moins de raisons de l'admettre que, en instance cantonale, l'intéressée avait déjà évoqué sa "</w:t>
      </w:r>
    </w:p>
    <w:p>
      <w:r>
        <w:t>candidose ", circonstance qui ne l'avait pourtant pas empêchée d'observer le délai pour recourir à la Chambre de surveillance. Faute d'être suffisamment motivée à cet égard, la requête est ainsi irrecevable ( art. 42 al. 2 LTF ).</w:t>
      </w:r>
    </w:p>
    <w:p>
      <w:r>
        <w:rPr>
          <w:b/>
        </w:rPr>
        <w:t>E. 3.2</w:t>
      </w:r>
    </w:p>
    <w:p>
      <w:r>
        <w:t>La requête apparaît irrecevable pour un autre motif: elle n'est pas accompagnée de l'acte omis, à savoir le dépôt du mémoire de recours au Tribunal fédéral (arrêt 9C_193/2023 du 15 mars 2023, qui se réfère à FRÉSARD,</w:t>
      </w:r>
    </w:p>
    <w:p>
      <w:r>
        <w:t>ibid ., n° 23).</w:t>
      </w:r>
    </w:p>
    <w:p>
      <w:r>
        <w:rPr>
          <w:b/>
        </w:rPr>
        <w:t>E. 4</w:t>
      </w:r>
    </w:p>
    <w:p>
      <w:r>
        <w:t>Vu ce qui précède, la requête doit être déclarée irrecevable par voie de procédure simplifiée ( art. 108 al. 1 let. a LTF ;</w:t>
      </w:r>
    </w:p>
    <w:p>
      <w:r>
        <w:t>cf . arrêt 9C_193/2023 précité), sans percevoir de frais (art. 66 al. 1, 2ème phrase,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