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5A_39/2016 vom 19. April 2016</w:t>
      </w:r>
    </w:p>
    <w:p>
      <w:r>
        <w:t>Bundesgericht, 2016-04-19, FR</w:t>
      </w:r>
    </w:p>
    <w:p>
      <w:r>
        <w:rPr>
          <w:b/>
        </w:rPr>
        <w:t xml:space="preserve">Quelle: </w:t>
      </w:r>
      <w:r>
        <w:t>https://mcp.opencaselaw.ch/entscheid/bger_5A_39_2016</w:t>
      </w:r>
    </w:p>
    <w:p>
      <w:r>
        <w:t>FR: TF 5A_39/2016 du 19 avril 2016</w:t>
      </w:r>
    </w:p>
    <w:p>
      <w:r>
        <w:t>IT: TF 5A_39/2016 del 19 aprile 2016</w:t>
      </w:r>
    </w:p>
    <w:p>
      <w:pPr>
        <w:pStyle w:val="Heading2"/>
      </w:pPr>
      <w:r>
        <w:t>Erwägungen</w:t>
      </w:r>
    </w:p>
    <w:p>
      <w:r>
        <w:rPr>
          <w:b/>
        </w:rPr>
        <w:t>E. 1.1</w:t>
      </w:r>
    </w:p>
    <w:p>
      <w:r>
        <w:t>L'arrêt attaqué ne met pas fin à la procédure, puisque celle-ci va se poursuivre devant la Chambre patrimoniale cantonale en ce qui concerne les conclusions en paiement - soit les conclusions III et VI -de la demande déposée le 15 août 2013 par la recourante. Il ne s'agit donc pas d'une décision finale au sens de l' art. 90 LTF .</w:t>
      </w:r>
    </w:p>
    <w:p>
      <w:r>
        <w:t>L'arrêt déféré a rejeté les conclusions I et II de dite demande et a constaté la caducité des inscriptions provisoires du gage immobilier ID.xxxx sur les parcelles nos aaa et ccc de la commune de U.________. Cette décision a ainsi statué définitivement sur une partie des chefs de conclusions pris par la demanderesse. Il s'agit donc d'une décision partielle ( art. 91 let. a LTF ), qui peut faire l'objet d'un recours immédiat au Tribunal fédéral ( ATF 137 III 421 consid. 1.1 p. 422).</w:t>
      </w:r>
    </w:p>
    <w:p>
      <w:r>
        <w:t>Interjeté pour le reste par la partie qui a entièrement succombé dans les conclusions qu'elle a prises en inscription définitive du gage immobilier ID.xxxx et qui a donc qualité pour recourir ( art. 76 al. 1 LTF ), dirigé contre un arrêt rendu en matière civile ( art. 72 al. 1 LTF ) par un tribunal supérieur statuant sur recours en dernière instance cantonale ( art. 75 LTF ) dans une affaire pécuniaire dont la valeur litigieuse (déterminée selon l' art. 51 al. 1 let. b LTF ) dépasse le seuil de 30'000 fr. de l' art. 74 al. 1 let. b LTF , le recours est en principe recevable, puisqu'il a été déposé dans le délai ( art. 100 al. 1 LTF ) et la forme ( art. 42 LTF ) prévus par la loi, sous la réserve toutefois que sa motivation satisfasse aux réquisits légaux (art. 42 al. 2 et 106 al. 2 LTF).</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w:t>
      </w:r>
    </w:p>
    <w:p>
      <w:r>
        <w:t>in fine ).</w:t>
      </w:r>
    </w:p>
    <w:p>
      <w:r>
        <w:rPr>
          <w:b/>
        </w:rPr>
        <w:t>E. 2</w:t>
      </w:r>
    </w:p>
    <w:p>
      <w:r>
        <w:t>La recourante considère que l' art. 63 CPC vise aussi les cas d'irrecevabilité pour vices de forme. En jugeant le contraire, les juges précédents auraient violé le droit fédéral.</w:t>
      </w:r>
    </w:p>
    <w:p>
      <w:r>
        <w:rPr>
          <w:b/>
        </w:rPr>
        <w:t>E. 2.1</w:t>
      </w:r>
    </w:p>
    <w:p>
      <w:r>
        <w:t>La cour cantonale a rappelé que l' art. 63 CPC était applicable à tous les cas d'incompétence régis par le CPC, qu'il s'agisse de règles de compétence</w:t>
      </w:r>
    </w:p>
    <w:p>
      <w:r>
        <w:t>ratione loci ou</w:t>
      </w:r>
    </w:p>
    <w:p>
      <w:r>
        <w:t>ratione materiae . En s'en tenant à la lettre de la loi, il fallait considérer que l' art. 63 CPC ne s'appliquait pas dans un cas d'irrecevabilité pour vices de forme. L' art. 132 CPC prévoyait en effet déjà une autre issue dans ce cas et il n'apparaîtrait pas cohérent qu'une partie puisse bénéficier cumulativement de l'une puis de l'autre disposition. Dans un arrêt récent, le Tribunal fédéral avait d'ailleurs considéré - certes en</w:t>
      </w:r>
    </w:p>
    <w:p>
      <w:r>
        <w:t>obiter dictum - que l' art. 63 CPC n'était pas applicable en cas de défaut d'autres conditions de recevabilité ou de vices de forme de l'acte initialement déposé ( ATF 141 III 481 consid. 3.2.4 p. 485 ss). Cet avis était partagé par une partie de la doctrine (CHAIX, La procédure ordinaire [ art. 219-242 CPC ], Le Code de procédure civile, aspects choisis, édition 2011, p. 72 s.). L'avis contraire de Bohnet (CPC commenté, n° 13 ad art. 63 CPC ) s'éloignant du texte légal et guère motivé n'était pas convaincant. Au surplus, contrairement à ce que les premiers juges avaient retenu, l' art. 63 CPC ne couvrait pas le même champ d'application que l'art. 139 aCO. En effet, si le Tribunal fédéral a estimé que l' art. 63 CPC généralisait le principe de l'art. 139 aCO et que l'on pouvait se référer à la jurisprudence sur cette dernière disposition, cette considération avait toutefois été émise pour répondre à une question non réglée par l' art. 63 CPC , soit celle du point de départ du délai d'un mois de l' art. 63 al. 1 CPC ( ATF 138 III 610 ). Cette jurisprudence n'était en revanche d'aucune utilité pour trancher la présente question litigieuse. Il ne paraissait pas justifié d'accorder le délai de l' art. 63 CPC à une partie - d'autant qu'elle était déjà assistée d'un avocat - qui avait déjà disposé d'un délai, d'ailleurs prolongeable, pour corriger son acte, ce qui n'était pas le cas sous l'empire de l'art. 139 aCO. La cour cantonale en a conclu que l' art. 63 CPC ne s'appliquait pas au cas d'espèce et que le dépôt de la seconde requête de conciliation n'avait pas rétroagi au jour du dépôt de la première requête. Le délai péremptoire de trois mois de l' art. 34 al. 4 LDFR n'ayant pas été respecté, les inscriptions provisoires étaient donc caduques et les conclusions de la demande tendant à l'inscription définitive de ces mêmes inscriptions auraient dû être rejetées.</w:t>
      </w:r>
    </w:p>
    <w:p>
      <w:r>
        <w:rPr>
          <w:b/>
        </w:rPr>
        <w:t>E. 2.2</w:t>
      </w:r>
    </w:p>
    <w:p>
      <w:r>
        <w:t>L'argumentation des juges précédents ne prête pas le flanc à la critique et ne révèle aucune violation du droit fédéral, de sorte que l'on peut s'y référer. Elle est en particulier conforme à la jurisprudence, soit notamment à l'arrêt paru aux ATF 141 III 481 (spéc. consid. 3.2.4 p. 487). Il résulte en effet expressément de cet arrêt que l' art. 63 CPC ne concerne que l'incompétence et l'introduction de la demande selon une procédure erronée et qu'il ne vise donc ni l'absence d'autres conditions de recevabilité ni les vices de forme de l'acte. Contrairement toutefois à ce que retient la cour cantonale, cette considération n'a pas été émise à titre d'</w:t>
      </w:r>
    </w:p>
    <w:p>
      <w:r>
        <w:t>obiter dictum . Lu dans son ensemble, le considérant 3 de l'arrêt susvisé est en effet de toute évidence destiné à fixer l'interprétation qu'il convient de donner à l' art. 63 CPC , qui était applicable au cas d'espèce jugé par le Tribunal fédéral. En cela, dite considération - qui n'a au demeurant pas été rédigée sous la forme d'une proposition incidente ni même été séparée par une incise - fait pleinement partie de l'arrêt considéré, le Tribunal fédéral ne l'ayant pas formulée en dehors des faits du litige, respectivement de la question qui lui était soumise. La norme ainsi énoncée ne dépassait dès lors pas l'objet de la cause ayant abouti à l'arrêt considéré. Dans cette mesure, il n'y a, sous réserve de motifs déterminants qui justifieraient un changement de jurisprudence, pas lieu d'interpréter à nouveau l' art. 63 CPC et de revenir sur une question d'ores et déjà tranchée. Or la recourante, qui présente sa propre interprétation de l' art. 63 CPC , semble demander le réexamen de l' ATF 141 III 481 , sans toutefois amener, sur le point litigieux, des raisons sérieuses et objectives propres à le remettre en cause (sur les conditions d'un changement de jurisprudence, cf. ATF 139 V 307 consid. 6.1 p. 313; 138 III 270 consid. 2.2.2 p. 273 s.). En particulier, l'on ne saurait voir de contradiction entre le fait d'admettre au consid. 3.2.2 de l'arrêt en cause (en référence à l' ATF 138 III 610 consid. 2.6) que l' art. 63 CPC généralise le principe de l'art. 139 aCO (abrogé à l'entrée en vigueur du CPC) et l'énoncé du champ d'application de l' art. 63 CPC figurant au consid. 3.2.4 du même arrêt. En effet, comme relevé à raison par les juges précédents, la jurisprudence et la doctrine relatives à l'art. 139 aCO n'ont de pertinence que s'agissant des questions que l' art. 63 CPC ne règle pas, ce qui n'est pas le cas de son champ d'application. A cet égard, les termes " selon la procédure prescrite " figurant à l' art. 63 al. 2 CPC ne prêtent pas à confusion et ne sauraient être compris dans le sens voulu par la recourante: ils ne peuvent viser que l'erreur commise dans le choix de la procédure suivie (ordinaire, simplifiée ou sommaire) et non les vices de forme réparables au sens de l' art. 132 CPC , comme la cour cantonale l'a correctement jugé.</w:t>
      </w:r>
    </w:p>
    <w:p>
      <w:r>
        <w:t>Il suit de là que le moyen est infondé.</w:t>
      </w:r>
    </w:p>
    <w:p>
      <w:r>
        <w:rPr>
          <w:b/>
        </w:rPr>
        <w:t>E. 3</w:t>
      </w:r>
    </w:p>
    <w:p>
      <w:r>
        <w:t>En définitive, le recours doit être rejeté. Les frais judiciaires sont mis à la charge de la recourante, qui succombe ( art. 66 al. 1 LTF ). Il n'y a pas lieu d'octroyer une indemnité de dépens aux intimés, qui ont succombé sur effet suspensif et qui n'ont pas été invités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