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398/2012 vom 14. September 2012</w:t>
      </w:r>
    </w:p>
    <w:p>
      <w:r>
        <w:t>Bundesgericht, 2012-09-14, FR</w:t>
      </w:r>
    </w:p>
    <w:p>
      <w:r>
        <w:rPr>
          <w:b/>
        </w:rPr>
        <w:t xml:space="preserve">Quelle: </w:t>
      </w:r>
      <w:r>
        <w:t>https://mcp.opencaselaw.ch/entscheid/bger_5A_398_2012</w:t>
      </w:r>
    </w:p>
    <w:p>
      <w:r>
        <w:t>FR: TF 5A 398/2012 du 14 septembre 2012</w:t>
      </w:r>
    </w:p>
    <w:p>
      <w:r>
        <w:t>IT: TF 5A 398/2012 del 14 settembre 2012</w:t>
      </w:r>
    </w:p>
    <w:p>
      <w:pPr>
        <w:pStyle w:val="Heading2"/>
      </w:pPr>
      <w:r>
        <w:t>Regeste</w:t>
      </w:r>
    </w:p>
    <w:p>
      <w:r>
        <w:t>Modification d'un droit de visite | Droit de la famille</w:t>
      </w:r>
    </w:p>
    <w:p>
      <w:pPr>
        <w:pStyle w:val="Heading2"/>
      </w:pPr>
      <w:r>
        <w:t>Erwägungen</w:t>
      </w:r>
    </w:p>
    <w:p>
      <w:r>
        <w:rPr>
          <w:b/>
        </w:rPr>
        <w:t>E. 1</w:t>
      </w:r>
    </w:p>
    <w:p>
      <w:r>
        <w:t>L'arrêt entrepris, qui a pour objet la réglementation du droit de visite du parent non marié qui n'a pas la garde des enfants, est une décision prise en application de normes de droit public dans une matière connexe au droit civil (art. 72 al. 2 let. b ch. 7 LTF; arrêts 5A_763/2011 du 7 mars 2012 consid. 1; 5A_457/2009 du 9 décembre 2009 consid. 1.1). Comme la question soumise au Tribunal fédéral est de nature non pécuniaire, le recours est ouvert indépendamment de la valeur litigieuse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statuant en dernière instance cantonale ( art. 75 al.1 et 2 LTF ). Le recours en matière civile est donc en principe recevable.</w:t>
      </w:r>
    </w:p>
    <w:p>
      <w:r>
        <w:rPr>
          <w:b/>
        </w:rPr>
        <w:t>E. 2</w:t>
      </w:r>
    </w:p>
    <w:p>
      <w:r>
        <w:t>Le recours en matière civile peut être interjeté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 En outre, le Tribunal fédéral ne connaît de la violation des droits fondamentaux que si un tel grief a été soulevé et motivé par le recourant ( ATF 137 II 305 consid. 3.3 p. 310 s.; 133 II 249 consid. 1.4.2 p. 254). Le recourant qui se plaint de la violation de droits fondamentaux doit ainsi satisfaire au principe d'allégation, en indiquant précisément quelle disposition constitutionnelle a été violée et en démontrant, par une argumentation précise, en quoi consiste la violation ( art. 106 al. 2 LTF ; ATF 133 IV 286 consid. 1.4 p. 287; 133 II 249 consid. 1.4.2 p. 254). Le Tribunal fédéral n'entre pas en matière sur les critiques de nature appellatoire ( ATF 133 II 396 consid. 3.1 p. 399 in fine).</w:t>
      </w:r>
    </w:p>
    <w:p>
      <w:r>
        <w:rPr>
          <w:b/>
        </w:rPr>
        <w:t>E. 3</w:t>
      </w:r>
    </w:p>
    <w:p>
      <w:r>
        <w:t>Le présent recours a pour objet les modalités d'exercice du droit de visite du parent non gardien sur ses deux enfants nés hors mariage; le recourant reproche aux juges cantonaux d'avoir violé, d'une part, son droit d'être entendu ( art. 29 al. 2 Cst. ) et, d'autre part, l' art. 273 CC .</w:t>
      </w:r>
    </w:p>
    <w:p>
      <w:r>
        <w:rPr>
          <w:b/>
        </w:rPr>
        <w:t>E. 4</w:t>
      </w:r>
    </w:p>
    <w:p>
      <w:r>
        <w:t>Invoquant son droit d'être entendu garanti par l' art. 29 al. 2 Cst. , le recourant fait valoir que la cour cantonale devait ordonner un deuxième échange d'écritures ainsi qu'il le souhaitait ou, à tout le moins fixer une audience de plaidoiries, afin qu'il puisse "réagir aux observations de B.________ du 28 mars 2012 et qui lui ont été transmises par l'autorité cantonale par pli du 11 avril 2012".</w:t>
      </w:r>
    </w:p>
    <w:p>
      <w:r>
        <w:rPr>
          <w:b/>
        </w:rPr>
        <w:t>E. 4.1</w:t>
      </w:r>
    </w:p>
    <w:p>
      <w:r>
        <w:t>Le droit d'être entendu est un grief de nature formelle ( ATF 127 V 431 consid. 3d/aa p. 437 s.), dont la violation entraîne l'annulation de la décision attaquée indépendamment des chances de succès du recours sur le fond ( ATF 127 V 431 consid. 3d/aa p. 437), qu'il convient par conséquent d'examiner avant tout autre ( ATF 135 I 279 consid. 2.6.1 p. 285; 124 I 49 consid. 1 p. 50) et avec une cognition libre ( ATF 121 I 54 consid. 2a p. 57 et les arrêts cités).</w:t>
      </w:r>
    </w:p>
    <w:p>
      <w:r>
        <w:rPr>
          <w:b/>
        </w:rPr>
        <w:t>E. 4.1.1</w:t>
      </w:r>
    </w:p>
    <w:p>
      <w:r>
        <w:t>Compris comme l'un des aspects de la notion générale de procès équitable au sens des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138 I 154 consid. 2.3.3 p. 157; 137 I 195 consid. 2.3.1 p. 197; 135 II 286 consid. 5.1 p. 293; 133 I 100 consid. 4.3 p. 102; 132 I 42 consid. 3.3.2 p. 46). Il appartient aux parties, et non au juge, de décider si une prise de position ou une pièce nouvellement versée au dossier contient des éléments déterminants qui appellent des observations de leur part. Ce droit à la réplique vaut pour toutes les procédures judiciaires ( ATF 138 I 154 consid. 2. 5 p. 157; 133 I 100 consid. 4.3 ss p. 102 ss, 98 consid. 2.2 p. 99; 132 I 42 consid. 3.3.2 - 3.3.4 p. 46 s.). Toute prise de position ou pièce nouvelle versée au dossier doit dès lors être communiquée aux parties pour leur permettre de décider si elles veulent ou non faire usage de leur faculté de se déterminer ( ATF 137 I 195 consid. 2.3.1 p. 197; 133 I 98 consid. 2.2 p. 99, 100 consid. 4.5 p. 103 s.; 132 I 42 consid. 3.3.2 - 3.3.4 p. 46 s.; arrêt 5A_503/2010 du 28 mars 2011 consid. 2.2; cf. en outre les arrêts de la Cour européenne des droits de l'homme dans les causes Schaller-Bossert contre Suisse du 28 octobre 2010 § 39 s. et Nideröst-Huber contre Suisse du 18 février 1997, Recueil CourEDH 1997-I p. 101 § 24).</w:t>
      </w:r>
    </w:p>
    <w:p>
      <w:r>
        <w:rPr>
          <w:b/>
        </w:rPr>
        <w:t>E. 4.1.2</w:t>
      </w:r>
    </w:p>
    <w:p>
      <w:r>
        <w:t>Les art. 322 et 327 du Code de procédure civile fédérale du 19 décembre 2008 (ci-après: CPC), applicables par le renvoi de l'art. 29 al. 1 de la loi genevoise du 28 novembre 2010 d'application du code civil suisse et autres lois fédérales en matière civile (entrée en vigueur le 1er janvier 2011, ci-après: LaCC), ne prévoient en principe qu'un seul échange d'écritures et une procédure sur pièces dans le cadre d'un recours contre une décision prise en matière de relations personnelles.</w:t>
      </w:r>
    </w:p>
    <w:p>
      <w:r>
        <w:rPr>
          <w:b/>
        </w:rPr>
        <w:t>E. 4.2</w:t>
      </w:r>
    </w:p>
    <w:p>
      <w:r>
        <w:t>En l'occurrence, l'autorité cantonale a communiqué le mémoire de réponse de l'intimée du 28 mars 2012 [et non du 27 février 2012, comme l'indique l'arrêt attaqué de manière manifestement erronée, art. 105 al. 2 LTF ] au recourant par pli du 11 avril 2012. Il ressort par ailleurs des constatations de l'arrêt entrepris que le recourant a requis, par courrier du 23 avril 2012, un deuxième échange d'écritures ou, à tout le moins, une audience de plaidoirie. Il s'ensuit que le recourant a clairement exprimé sa volonté de s'exprimer sur la réponse de l'intimée, dans un délai raisonnable, et ne saurait ainsi être considéré comme s'étant abstenu. L'autorité précédente a rejeté la requête du recourant, partant elle a refusé tout nouvel échange d'écritures et de tenir audience, directement dans son arrêt au fond rendu deux jours plus tard, le 25 avril 2012, exposant que les mesures requises "ne sont pas justifiées". L'autorité précédente - même si elle a la possibilité, dans un premier temps, de communiquer les écritures à titre d'information sans ordonner un deuxième échange d'écritures - ne saurait priver ce dernier de son droit d'être entendu en jugeant la cause deux jours après l'envoi de la requête alors qu'elle avait connaissance du fait que le recourant souhaitait s'exprimer sur la cause avant que le jugement soit rendu. Le recourant a ainsi appris le rejet de sa requête uniquement dans l'arrêt au fond daté du surlendemain, en sorte qu'il n'a pas pu disposer du temps nécessaire pour déposer des observations spontanées sur la réponse, à la suite du rejet de sa demande de nouvel échange d'écritures, subsidiairement de tenir audience. La procédure suivie par la Chambre de surveillance de la Cour de justice a donc manifestement privé le recourant de la faculté d'exercer son droit constitutionnel de s'exprimer sur sa cause avant d'être jugé.</w:t>
      </w:r>
    </w:p>
    <w:p>
      <w:r>
        <w:rPr>
          <w:b/>
        </w:rPr>
        <w:t>E. 4.3</w:t>
      </w:r>
    </w:p>
    <w:p>
      <w:r>
        <w:t>Le Tribunal de céans peut - exceptionnellement - réparer une violation du droit d'être entendu s'il dispose d'un libre pouvoir de cognition, autrement dit lorsque seules des questions de droit demeurent litigieuses ( ATF 133 I 201 consid. 2.2 p. 204, arrêt 5A_503/2010 du 28 mars 2011 consid. 2.4), et qu'il n'en résulte aucun préjudice pour le justiciable ( ATF 136 III 174 consid. 5.1.2 a contrario p. 177). En l'occurrence, contrairement à ce que prétend l'intimée, la Cour de céans ne peut valablement réparer la violation du droit d'être entendu alléguée à juste titre par le recourant, celui-ci se plaignant de l'application du droit fédéral à l'aune de la situation de l'espèce, en particulier du bien de l'enfant et du rapport d'expertise. Le grief de violation du droit d'être entendu ( art. 29 Cst. ) doit donc être admis, ce qui scelle le sort du recours sans qu'il faille examiner l'autre grief soulevé par le recourant.</w:t>
      </w:r>
    </w:p>
    <w:p>
      <w:r>
        <w:rPr>
          <w:b/>
        </w:rPr>
        <w:t>E. 5</w:t>
      </w:r>
    </w:p>
    <w:p>
      <w:r>
        <w:t>Vu ce qui précède, le recours doit être admis, la décision attaquée annulée et la cause renvoyée à l'autorité précédente pour nouvelle décision. Les frais judiciaires, arrêtés à 2'000 fr., sont mis à la charge de l'intimée, qui a conclu au rejet du recours ( art. 66 al. 1 LTF ). Une indemnité de 2'500 fr., à payer à titre de dépens au recourant, est mise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