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5A_397/2025 vom 10. Juni 2025</w:t>
      </w:r>
    </w:p>
    <w:p>
      <w:r>
        <w:t>Bundesgericht, 2025-06-10, DE</w:t>
      </w:r>
    </w:p>
    <w:p>
      <w:r>
        <w:rPr>
          <w:b/>
        </w:rPr>
        <w:t xml:space="preserve">Quelle: </w:t>
      </w:r>
      <w:r>
        <w:t>https://mcp.opencaselaw.ch/entscheid/bger_5A_397_2025</w:t>
      </w:r>
    </w:p>
    <w:p>
      <w:r>
        <w:t>FR: TF 5A_397/2025 du 10 juin 2025</w:t>
      </w:r>
    </w:p>
    <w:p>
      <w:r>
        <w:t>IT: TF 5A_397/2025 del 10 giugno 2025</w:t>
      </w:r>
    </w:p>
    <w:p>
      <w:pPr>
        <w:pStyle w:val="Heading2"/>
      </w:pPr>
      <w:r>
        <w:t>Erwägungen</w:t>
      </w:r>
    </w:p>
    <w:p>
      <w:r>
        <w:rPr>
          <w:b/>
        </w:rPr>
        <w:t>E. 1</w:t>
      </w:r>
    </w:p>
    <w:p>
      <w:r>
        <w:t>Angefochten ist ein kantonal letztinstanzlicher Entscheid betreffend Eigentumsüberschreitung mit einem Fr. 30'000.-- übersteigenden Streitwert. Somit steht als Rechtsmittel die Beschwerde in Zivilsachen offen ( Art. 72 Abs. 1, Art. 74 Abs. 1 lit. b, Art. 75 Abs. 1 und Art. 90 BGG ) und demzufolge scheidet die subsidiäre Verfassungsbeschwerde, wie es schon ihr Name sagt, als mögliches Rechtsmittel aus (vgl. Art. 113 BGG ).</w:t>
      </w:r>
    </w:p>
    <w:p>
      <w:r>
        <w:rPr>
          <w:b/>
        </w:rPr>
        <w:t>E. 2</w:t>
      </w:r>
    </w:p>
    <w:p>
      <w:r>
        <w:t>Die Beschwerde in Zivilsachen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t>Sodann ist zu beachten, dass der von der Vorinstanz festgestellte Sachverhalt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rPr>
          <w:b/>
        </w:rPr>
        <w:t>E. 3</w:t>
      </w:r>
    </w:p>
    <w:p>
      <w:r>
        <w:t>Die Beschwerde besteht aus einer Collage aus Fotos, Schreiben, Publikationen und Teilen von Eingaben, welche mit kommentierenden und teils polemisierenden eigenen Texten durchsetzt sind. Eine sachbezogene Auseinandersetzung mit den Erwägungen des angefochtenen Entscheides und eine Darlegung, inwiefern die dortigen Sachverhaltsfeststellungen willkürlich sein könnten, lässt sich ebenso wenig ausmachen wie konkrete Rechtsbegehren.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