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5A_397/2023 vom 7. Juni 2023</w:t>
      </w:r>
    </w:p>
    <w:p>
      <w:r>
        <w:t>Bundesgericht, 2023-06-07, DE</w:t>
      </w:r>
    </w:p>
    <w:p>
      <w:r>
        <w:rPr>
          <w:b/>
        </w:rPr>
        <w:t xml:space="preserve">Quelle: </w:t>
      </w:r>
      <w:r>
        <w:t>https://mcp.opencaselaw.ch/entscheid/bger_5A_397_2023</w:t>
      </w:r>
    </w:p>
    <w:p>
      <w:r>
        <w:t>FR: TF 5A_397/2023 du 7 juin 2023</w:t>
      </w:r>
    </w:p>
    <w:p>
      <w:r>
        <w:t>IT: TF 5A_397/2023 del 7 giugno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scheitert bereits an tauglichen Rechtsbegehren; verlangt wird - nebst zahlreichen unsinnigen Bedingungen - im Wesentlichen, dass die Eidgenossenschaft, die Bundesversammlung, das Bundesgericht und der Kanton St. Gallen beglaubigte Nachweise ihrer Legitimation erbringen müssten und bei Bearbeitung der Beschwerde die Funktionäre des Bundesgerichtes automatisch mit Pönalen belegt würden, welche für Mitglieder der Verwaltungskommission je 100, für Richter der Präsidentenkonferenz je 75, für die übrigen vollamtlichen Richter je 50 und für nebenamtliche Richter je 25 kg Gold betrügen.</w:t>
      </w:r>
    </w:p>
    <w:p>
      <w:r>
        <w:rPr>
          <w:b/>
        </w:rPr>
        <w:t>E. 3</w:t>
      </w:r>
    </w:p>
    <w:p>
      <w:r>
        <w:t>Die Beschwerdebegründung besteht - unter Überschriften wie "die stillen politischen Veränderungen in der Schweiz", "wie Herrschaft ausgeübt wird", "Ideologie Mensch/Person", "Behörden und Ämter als Firmen", "Corona", "Ukraine", "Energiepreise und Lieferketten", "Hyperinflation", "der kommende Krieg" etc. - aus weitschweifigen Ausführungen, welche keinen Bezug zu den Nichteintretenserwägungen des angefochtenen Entscheides aufweisen.</w:t>
      </w:r>
    </w:p>
    <w:p>
      <w:r>
        <w:rPr>
          <w:b/>
        </w:rPr>
        <w:t>E. 4</w:t>
      </w:r>
    </w:p>
    <w:p>
      <w:r>
        <w:t>Nach dem Gesagten gebricht es an tauglichen Begehren und ist die Beschwerde offensichtlich nicht hinreichend begründet sowie querulatorisch, weshalb auf sie im vereinfachten Verfahren nach Art. 108 Abs. 1 lit. b und c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