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5A_397/2020 vom 15. Juli 2020</w:t>
      </w:r>
    </w:p>
    <w:p>
      <w:r>
        <w:t>Bundesgericht, 2020-07-15, DE</w:t>
      </w:r>
    </w:p>
    <w:p>
      <w:r>
        <w:rPr>
          <w:b/>
        </w:rPr>
        <w:t xml:space="preserve">Quelle: </w:t>
      </w:r>
      <w:r>
        <w:t>https://mcp.opencaselaw.ch/entscheid/bger_5A_397_2020</w:t>
      </w:r>
    </w:p>
    <w:p>
      <w:r>
        <w:t>FR: TF 5A_397/2020 du 15 juillet 2020</w:t>
      </w:r>
    </w:p>
    <w:p>
      <w:r>
        <w:t>IT: TF 5A_397/2020 del 15 luglio 2020</w:t>
      </w:r>
    </w:p>
    <w:p>
      <w:pPr>
        <w:pStyle w:val="Heading2"/>
      </w:pPr>
      <w:r>
        <w:t>Erwägungen</w:t>
      </w:r>
    </w:p>
    <w:p>
      <w:r>
        <w:rPr>
          <w:b/>
        </w:rPr>
        <w:t>E. 1</w:t>
      </w:r>
    </w:p>
    <w:p>
      <w:r>
        <w:t>Am 28. Januar 2020 erliess das Betreibungsamt Appenzeller Hinterland gegenüber dem Beschwerdeführer auf Begehren von C.________ für den Betrag von Fr. 3'330.50 nebst Zins den Zahlungsbefehl Nr. qqq. Der Beschwerdeführer erhob Beschwerde gegen den Zahlungsbefehl und ersuchte um aufschiebende Wirkung. Mit Verfügung vom 25. März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 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