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5A_397/2014 vom 11. Juli 2014</w:t>
      </w:r>
    </w:p>
    <w:p>
      <w:r>
        <w:t>Bundesgericht, 2014-07-11, DE</w:t>
      </w:r>
    </w:p>
    <w:p>
      <w:r>
        <w:rPr>
          <w:b/>
        </w:rPr>
        <w:t xml:space="preserve">Quelle: </w:t>
      </w:r>
      <w:r>
        <w:t>https://mcp.opencaselaw.ch/entscheid/bger_5A_397_2014</w:t>
      </w:r>
    </w:p>
    <w:p>
      <w:r>
        <w:t>FR: TF 5A_397/2014 du 11 juillet 2014</w:t>
      </w:r>
    </w:p>
    <w:p>
      <w:r>
        <w:t>IT: TF 5A_397/2014 del 11 luglio 2014</w:t>
      </w:r>
    </w:p>
    <w:p>
      <w:pPr>
        <w:pStyle w:val="Heading2"/>
      </w:pPr>
      <w:r>
        <w:t>Erwägungen</w:t>
      </w:r>
    </w:p>
    <w:p>
      <w:r>
        <w:rPr>
          <w:b/>
        </w:rPr>
        <w:t>E. 1.1</w:t>
      </w:r>
    </w:p>
    <w:p>
      <w:r>
        <w:t>Angefochten ist ein Entscheid der oberen kantonalen Aufsichtsbehörde, welcher die Revision einer Einkommenspfändung zum Gegenstand hat. Die Beschwerde in Zivilsachen ist unabhängig eines Streitwertes gegeben ( Art. 72 Abs. 2 lit. a BGG in Verbindung mit Art. 19 SchKG , Art. 74 Abs. 2 lit. c BGG ). Der Beschwerdeführer hat ein schutzwürdiges Interesse an der Prüfung des aufsichtsrechtlichen Entscheides, da er im kantonalen Verfahren mit der diesbezüglichen Kritik unterlegen und von der Einkommenspfändung direkt betroffen ist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es nimmt keine Beweise ab (vgl. BGE 133 IV 293 E. 3.4.2 S. 295).</w:t>
      </w:r>
    </w:p>
    <w:p>
      <w:r>
        <w:rPr>
          <w:b/>
        </w:rPr>
        <w:t>E. 2</w:t>
      </w:r>
    </w:p>
    <w:p>
      <w:r>
        <w:t>Anlass zur vorliegenden Beschwerde gibt die Revision der Einkommenspfändung.</w:t>
      </w:r>
    </w:p>
    <w:p>
      <w:r>
        <w:rPr>
          <w:b/>
        </w:rPr>
        <w:t>E. 2.1</w:t>
      </w:r>
    </w:p>
    <w:p>
      <w:r>
        <w:t>Erhält das Betreibungsamt während der laufenden Einkommenspfändung Kenntnis davon, dass sich die für die Bestimmung des pfändbaren Betrages massgebenden Verhältnisse geändert haben, so passt es die Pfändung entsprechend an ( Art. 93 Abs. 3 SchKG ). Mit der anlässlich der SchKG-Revision von 1994 geschaffenen Bestimmung hat der Gesetzgeber der bisherigen Praxis Rechnung getragen, wonach die bereits rechtskräftige Pfändung den massgeblichen aktuellen Auslagen und Einkünften entsprechen soll ( OCHSNER, in: Commentaire romand, Poursuite et faillite, 2005, N. 210 zu Art. 93; VONDER MÜHLL, in: Basler Kommentar, Bundesgesetz über Schuldbetreibung und Konkurs, 2. Aufl. 2010, N. 54 zu Art. 93; KREN KOSTKIEWICZ, in: Kurzkommentar SchKG, 2. Aufl. 2014, N. 71 zu Art. 93).</w:t>
      </w:r>
    </w:p>
    <w:p>
      <w:r>
        <w:rPr>
          <w:b/>
        </w:rPr>
        <w:t>E. 2.2</w:t>
      </w:r>
    </w:p>
    <w:p>
      <w:r>
        <w:t>Die obere kantonale Aufsichtsbehörde hat vorab betont, dass das Anfechtungsobjekt der Beschwerde ausschliesslich die Revision der Pfändung Nr. xxx sein könne. Die Einwände gegen den vorangegangenen Pfändungsvollzug seien verspätet und könnten nicht mehr überprüft werden; überdies seien die diesbezüglichen Vorbringen in der Sache untauglich. Konkret hat das Betreibungsamt die Auslagen des Schuldners neu festgesetzt. Dabei hat es zu seinen Gunsten neu Fahrtkosten zum Arbeitsplatz von monatlich Fr. 119.-- berücksichtigt. Hingegen hat es die Prämien für die Krankenversicherung für ihn und die Ehefrau gestrichen, da diese nicht bezahlt werden. Die Wohnungsmiete hat es mit Hinweis auf den Entscheid des Obergerichts vom 18. Juli 2013 in einem anderen Verfahren auf Fr. 3'000.-- festgesetzt. Im Ergebnis beträgt das monatliche Existenzminimum nunmehr Fr. 5'501.--, womit sich die pfändbare Quote auf Fr. 5'333.95 beläuft.</w:t>
      </w:r>
    </w:p>
    <w:p>
      <w:r>
        <w:rPr>
          <w:b/>
        </w:rPr>
        <w:t>E. 2.3</w:t>
      </w:r>
    </w:p>
    <w:p>
      <w:r>
        <w:t>Der Beschwerdeführer begnügt sich auf weiten Strecken mit der Bestreitung der tatbeständlichen Feststellungen der Vorinstanz, wobei er sich vor allem auf eine andere Pfändung bezieht, die nicht Gegenstand des vorangegangenen Verfahrens bildet. Zudem äussert er Kritik an der Erstinstanz, deren Entscheid vom Bundesgericht ohnehin nicht überprüft werden kann. Auf diese Vorbringen ist nicht einzugehen.</w:t>
      </w:r>
    </w:p>
    <w:p>
      <w:r>
        <w:rPr>
          <w:b/>
        </w:rPr>
        <w:t>E. 2.4</w:t>
      </w:r>
    </w:p>
    <w:p>
      <w:r>
        <w:t>Hinsichtlich der vorliegend einzig interessierenden Revision der Einkommenspfändung rügt der Beschwerdeführer verschiedene nicht näher bezeichnete Faktoren, welche seiner Ansicht nach neu zu berechnen gewesen wären. Damit verkennt er den Zweck der Revision der Einkommenspfändung, nämlich die Aktualisierung der massgeblichen Verhältnisse ( BGE 116 III 15 E. 2b S. 20). Zudem genügt er mit seiner allgemein gehaltenen Kritik an der Arbeitsweise des Betreibungsamtes der Begründungspflicht nicht. Konkret wehrt er sich nur gegen die Festlegung des monatlichen Mietzinses für sich und seine Ehefrau auf Fr. 3'000.--. Er besteht auf dem als tatsächlich bezeichneten Betrag von monatlich Fr. 6'584.--. Bereits die Vorinstanz hat dem Beschwerdeführer - mit Hinweis auf verschiedene vorangegangene Verfahren - erläutert, weshalb nicht der effektiv bezahlte Mietzins massgebend ist. In der Tat können die tatsächlich bezahlten Wohnkosten bei der Festlegung des Existenzminimums nur dann vollumfänglich berücksichtigt werden, wenn sie der familiären Situation des Schuldners und den ortsüblichen Ansätzen entsprechen ( BGE 129 III 526 E. 2 S. 527). Dass dies im vorliegenden Fall nicht zutreffen würde, legt der Beschwerdeführer nicht dar. Er begnügt sich an dieser Stelle im Wesentlichen mit der Wiederholung seiner Ausführungen im kantonalen Verfahren.</w:t>
      </w:r>
    </w:p>
    <w:p>
      <w:r>
        <w:rPr>
          <w:b/>
        </w:rPr>
        <w:t>E. 3</w:t>
      </w:r>
    </w:p>
    <w:p>
      <w:r>
        <w:t>Nach dem Gesagten ist der Beschwerde kein Erfolg beschieden.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