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396/2017 vom 24. Mai 2017</w:t>
      </w:r>
    </w:p>
    <w:p>
      <w:r>
        <w:t>Bundesgericht, 2017-05-24, DE</w:t>
      </w:r>
    </w:p>
    <w:p>
      <w:r>
        <w:rPr>
          <w:b/>
        </w:rPr>
        <w:t xml:space="preserve">Quelle: </w:t>
      </w:r>
      <w:r>
        <w:t>https://mcp.opencaselaw.ch/entscheid/bger_5A_396_2017</w:t>
      </w:r>
    </w:p>
    <w:p>
      <w:r>
        <w:t>FR: TF 5A 396/2017 du 24 mai 2017</w:t>
      </w:r>
    </w:p>
    <w:p>
      <w:r>
        <w:t>IT: TF 5A 396/2017 del 24 maggio 2017</w:t>
      </w:r>
    </w:p>
    <w:p>
      <w:pPr>
        <w:pStyle w:val="Heading2"/>
      </w:pPr>
      <w:r>
        <w:t>Regeste</w:t>
      </w:r>
    </w:p>
    <w:p>
      <w:r>
        <w:t>Mandatsführung | Familienrecht</w:t>
      </w:r>
    </w:p>
    <w:p>
      <w:pPr>
        <w:pStyle w:val="Heading2"/>
      </w:pPr>
      <w:r>
        <w:t>Erwägungen</w:t>
      </w:r>
    </w:p>
    <w:p>
      <w:r>
        <w:rPr>
          <w:b/>
        </w:rPr>
        <w:t>E. 1</w:t>
      </w:r>
    </w:p>
    <w:p>
      <w:r>
        <w:t>Angefochten ist der kantonal letztinstanzliche Zwischenentscheid, mit welchem die erstinstanzliche Verweigerung der unentgeltlichen Rechtspflege in Bezug auf die Rechtsverbeiständung geschützt wurde. Damit droht ein nicht wieder gutzumachender Nachteil im Sinn von Art. 93 Abs. 1 lit. a BGG ( BGE 129 I 129 E. 1.1 S. 131; 139 V 600 E. 2 S. 602; Urteile 5A_931/2013 vom 25. Juni 2014 E. 1; 5A_821/2015 vom 16. Dezember 2015 E. 1.1) und insofern ist die Beschwerde gegen den Zwischenentscheid zulässig. Die Beschwerde erfolgt mit handschriftlichen Vermerken direkt auf dem angefochtenen Entscheid; dies ist - unter Vorbehalt der Formerfordernisse (dazu E. 2) - zulässig, zumal beide Beschwerdeführer unterzeichnet haben ( Art. 42 Abs. 1 BGG ).</w:t>
      </w:r>
    </w:p>
    <w:p>
      <w:r>
        <w:rPr>
          <w:b/>
        </w:rPr>
        <w:t>E. 2</w:t>
      </w:r>
    </w:p>
    <w:p>
      <w:r>
        <w:t>Die Beschwerde hat ein Rechtsbegehren und eine Begründung zu enthalten ( Art. 42 Abs. 1 BGG ), in welcher kurz dargelegt wird, inwiefern der angefochtene Entscheid Recht verletzt ( Art. 42 Abs. 2 BGG ), was eine Auseinandersetzung mit der Begründung des angefochtenen Entscheides erfordert ( BGE 140 III 115 E. 2 S. 116). Die Beschwerde enthält kein explizites Rechtsbegehren; allerdings ist aus dem Kontext klar ersichtlich, was die Beschwerdeführer wollen. Die im angefochtenen Entscheid verstreut angebrachten Bemerkungen der Beschwerdeführer beziehen sich ausschliesslich auf die Mittellosigkeit. Die obergerichtliche Erwägung war jedoch, dass die Beschwerdeführer aufgrund des einfachen Sachverhaltes nicht auf eine Rechtsvertretung angewiesen seien. Diesbezüglich erfolgen in der Beschwerde nicht ansatzweise Ausführungen, weshalb diese gänzlich unbegründet bleibt.</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Angesichts der konkreten Umstände wird auf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