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5A_394/2023 vom 7. Juni 2023</w:t>
      </w:r>
    </w:p>
    <w:p>
      <w:r>
        <w:t>Bundesgericht, 2023-06-07, DE</w:t>
      </w:r>
    </w:p>
    <w:p>
      <w:r>
        <w:rPr>
          <w:b/>
        </w:rPr>
        <w:t xml:space="preserve">Quelle: </w:t>
      </w:r>
      <w:r>
        <w:t>https://mcp.opencaselaw.ch/entscheid/bger_5A_394_2023</w:t>
      </w:r>
    </w:p>
    <w:p>
      <w:r>
        <w:t>FR: TF 5A_394/2023 du 7 juin 2023</w:t>
      </w:r>
    </w:p>
    <w:p>
      <w:r>
        <w:t>IT: TF 5A_394/2023 del 7 giugno 2023</w:t>
      </w:r>
    </w:p>
    <w:p>
      <w:pPr>
        <w:pStyle w:val="Heading2"/>
      </w:pPr>
      <w:r>
        <w:t>Erwägungen</w:t>
      </w:r>
    </w:p>
    <w:p>
      <w:r>
        <w:rPr>
          <w:b/>
        </w:rPr>
        <w:t>E. 1</w:t>
      </w:r>
    </w:p>
    <w:p>
      <w:r>
        <w:t>Im Streit um Nebenpunkte, namentlich in Bezug auf die Kosten, folgt der Rechtsweg an das Bundesgericht jenem der Hauptsache ( BGE 134 I 159 E. 1.1; 137 III 380 E. 1.1). Bei dieser handelt es sich um ein Abänderungsverfahren bezüglich eines Scheidungsurteils. Diesbezüglich wäre gegen den kantonal letztinstanzlichen Entscheid die Beschwerde in Zivilsachen gegeben ( Art. 72 Abs. 1, Art. 75 Abs. 1 und Art. 90 BGG ) und folglich steht diese auch vorliegend offen.</w:t>
      </w:r>
    </w:p>
    <w:p>
      <w:r>
        <w:rPr>
          <w:b/>
        </w:rPr>
        <w:t>E. 2</w:t>
      </w:r>
    </w:p>
    <w:p>
      <w:r>
        <w:t>Die Vorinstanz ist auf das Rechtsmittel des Beschwerdeführers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Die Beschwerde enthält keine dahingehenden Ausführungen. Vielmehr äussert sich der Beschwerdeführer in wenigen Zeilen zu Dingen, die ausserhalb des Anfechtungsgegenstandes stehen (es sei aus der Luft gegriffen, dass er sich dem Prozess entzogen habe, sondern er habe aufgrund einer psychischen Erkrankung nicht mitwirken können, und im Übrigen könne er keine Alimente zahlen, weil er auf Sozialhilfe angewiesen sei).</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