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394/2022 vom 8. Juni 2022</w:t>
      </w:r>
    </w:p>
    <w:p>
      <w:r>
        <w:t>Bundesgericht, 2022-06-08, DE</w:t>
      </w:r>
    </w:p>
    <w:p>
      <w:r>
        <w:rPr>
          <w:b/>
        </w:rPr>
        <w:t xml:space="preserve">Quelle: </w:t>
      </w:r>
      <w:r>
        <w:t>https://mcp.opencaselaw.ch/entscheid/bger_5A_394_2022</w:t>
      </w:r>
    </w:p>
    <w:p>
      <w:r>
        <w:t>FR: TF 5A 394/2022 du 8 juin 2022</w:t>
      </w:r>
    </w:p>
    <w:p>
      <w:r>
        <w:t>IT: TF 5A 394/2022 del 8 giugno 2022</w:t>
      </w:r>
    </w:p>
    <w:p>
      <w:pPr>
        <w:pStyle w:val="Heading2"/>
      </w:pPr>
      <w:r>
        <w:t>Regeste</w:t>
      </w:r>
    </w:p>
    <w:p>
      <w:r>
        <w:t>Betreibungsverfahren | Schuldbetreibungs- und Konkursrecht</w:t>
      </w:r>
    </w:p>
    <w:p>
      <w:pPr>
        <w:pStyle w:val="Heading2"/>
      </w:pPr>
      <w:r>
        <w:t>Erwägungen</w:t>
      </w:r>
    </w:p>
    <w:p>
      <w:r>
        <w:rPr>
          <w:b/>
        </w:rPr>
        <w:t>E. 1</w:t>
      </w:r>
    </w:p>
    <w:p>
      <w:r>
        <w:t>Mit Schreiben vom 15. und 29. November 2021 liess das Betreibungsamt Basel-Stadt der Beschwerdeführerin eine Abholungseinladung in der Betreibung Nr. xxx zukommen. Mit Beschwerde gegen die Abholungseinladung, datierend vom 17. November 2021, wandte sich die Beschwerdeführerin an die untere Aufsichtsbehörde über das Betreibungs- und Konkursamt Basel-Stadt. Sie verlangte ein generelles Betreibungsverbot "ab dem 11.06.2020 (26.07.2020), resp. 4.12.2008" und die Sistierung der bestehenden Betreibungen. Mit Entscheid vom 18. Januar 2022 trat die untere Aufsichtsbehörde auf die Beschwerde nicht ein und auferlegte der Beschwerdeführerin wegen bös- oder mutwilliger Prozessführung die Verfahrenskosten von Fr. 300.--. Dagegen erhob die Beschwerdeführerin am 28. Januar 2022 (Postaufgabe) Beschwerde beim Appellationsgericht des Kantons Basel-Stadt. Mit Entscheid vom 11. Mai 2022 wies das Appellationsgericht die Beschwerde ab, soweit es darauf eintrat. Dagegen hat die Beschwerdeführerin am 26. Mai 2022 (Postaufgabe) Beschwerde an das Bundesgericht erhoben. Am 29. und 30. Mai 2022 (jeweils Poststempel) hat die Beschwerdeführerin die Beschwerde ergänzt.</w:t>
      </w:r>
    </w:p>
    <w:p>
      <w:r>
        <w:rPr>
          <w:b/>
        </w:rPr>
        <w:t>E. 2</w:t>
      </w:r>
    </w:p>
    <w:p>
      <w:r>
        <w:t>Soweit die Beschwerdeführerin eine mündliche Verhandlung verlangen sollte, ist darauf hinzuweisen, dass vor Bundesgericht kein Anspruch auf eine Parteiverhandlung ( Art. 57 BGG ) besteht. Der vorliegende Entscheid kann ohne weiteres anhand der Akten gefällt werden.</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4</w:t>
      </w:r>
    </w:p>
    <w:p>
      <w:r>
        <w:t>Die untere Aufsichtsbehörde hat erwogen, die Abholungseinladung stelle keine anfechtbare Verfügung dar. Einen generellen Aufschub von betreibungsrechtlichen Vollstreckungsmassnahmen könne sie nicht anordnen. Das Appellationsgericht hat diese Erwägungen als zutreffend bezeichnet und erwogen, die Beschwerdeführerin setze sich damit in ihrer Beschwerde nicht auseinander. Sie weise auf ein angebliches wiederholtes vorschriftswidriges Handeln des Zivilstandsamts Basel-Stadt, eine entsprechende angebliche Schadenssumme und auf ihre Korrespondenz mit dem Erbschaftsamt bzw. dem Eidgenössischen Amt für das Zivilstandswesen hin. Damit könne sie nicht aufzeigen, inwiefern der angefochtene Entscheid unrichtig sein soll.</w:t>
      </w:r>
    </w:p>
    <w:p>
      <w:r>
        <w:rPr>
          <w:b/>
        </w:rPr>
        <w:t>E. 5</w:t>
      </w:r>
    </w:p>
    <w:p>
      <w:r>
        <w:t>Mit diesen Erwägungen setzt sich die Beschwerdeführerin nicht auseinander. Stattdessen äussert sie sich in schwer verständlicher Weise erneut zu einer Zivilstands- und Erbschaftssache sowie zu einer Sozialversicherungsangelegenheit. Die Beschwerde enthält offensichtlich keine hinreichende Begründung. Auf sie ist im vereinfachten Verfahren durch das präsidierende Mitglied der Abteilung nicht einzutreten ( Art. 108 Abs. 1 lit. b BGG ).</w:t>
      </w:r>
    </w:p>
    <w:p>
      <w:r>
        <w:rPr>
          <w:b/>
        </w:rPr>
        <w:t>E. 6</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