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5A_394/2014 vom 21. Juli 2014</w:t>
      </w:r>
    </w:p>
    <w:p>
      <w:r>
        <w:t>Bundesgericht, 2014-07-21, FR</w:t>
      </w:r>
    </w:p>
    <w:p>
      <w:r>
        <w:rPr>
          <w:b/>
        </w:rPr>
        <w:t xml:space="preserve">Quelle: </w:t>
      </w:r>
      <w:r>
        <w:t>https://mcp.opencaselaw.ch/entscheid/bger_5A_394_2014</w:t>
      </w:r>
    </w:p>
    <w:p>
      <w:r>
        <w:t>FR: TF 5A_394/2014 du 21 juillet 2014</w:t>
      </w:r>
    </w:p>
    <w:p>
      <w:r>
        <w:t>IT: TF 5A_394/2014 del 21 luglio 2014</w:t>
      </w:r>
    </w:p>
    <w:p>
      <w:pPr>
        <w:pStyle w:val="Heading2"/>
      </w:pPr>
      <w:r>
        <w:t>Erwägungen</w:t>
      </w:r>
    </w:p>
    <w:p>
      <w:r>
        <w:rPr>
          <w:b/>
        </w:rPr>
        <w:t>E. 1.1</w:t>
      </w:r>
    </w:p>
    <w:p>
      <w:r>
        <w:t>Les deux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1.2</w:t>
      </w:r>
    </w:p>
    <w:p>
      <w:r>
        <w:t>Le recours a été déposé en temps utile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 principe d'allégation "; art. 106 al. 2 LTF ; ATF 134 I 83 consid. 3.2; 133 II 249 consid. 1.4.2).</w:t>
      </w:r>
    </w:p>
    <w:p>
      <w:r>
        <w:rPr>
          <w:b/>
        </w:rPr>
        <w:t>E. 2.2.1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135 III 127 consid. 1.5, 397 consid. 1.5) - des faits doit satisfaire au principe d'allégation susmentionné (cf.</w:t>
      </w:r>
    </w:p>
    <w:p>
      <w:r>
        <w:t>supra consid. 2.1).</w:t>
      </w:r>
    </w:p>
    <w:p>
      <w:r>
        <w:t>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références).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w:t>
      </w:r>
    </w:p>
    <w:p>
      <w:r>
        <w:rPr>
          <w:b/>
        </w:rPr>
        <w:t>E. 2.2.2</w:t>
      </w:r>
    </w:p>
    <w:p>
      <w:r>
        <w:t>Au vu de ce qui précède, il ne sera pas tenu compte des parties des recours intitulées " A. Présentation et examen des faits retenus dans l'arrêt ", le recourant n'y soulevant ni le grief d'arbitraire, ni la violation du droit.</w:t>
      </w:r>
    </w:p>
    <w:p>
      <w:r>
        <w:rPr>
          <w:b/>
        </w:rPr>
        <w:t>E. 3</w:t>
      </w:r>
    </w:p>
    <w:p>
      <w:r>
        <w:t>Sous le grief de la violation de l' art. 20a LP , le recourant reproche à l'autorité cantonale d'avoir considéré que sa conclusion tendant à la radiation du point n° 7 de l'état des charges relatif à la parcelle vvv et du point n° 11 de l'état des charges relatif à la parcelle www est nouvelle. Il expose, en renvoyant aux passages topiques de la décision de première instance du 4 novembre 2011, qu'il a expressément contesté durant l'audience du 23 septembre 2013 que ces créances puissent figurer dans l'état des charges et que l'autorité inférieure de surveillance s'est saisie de cette question.</w:t>
      </w:r>
    </w:p>
    <w:p>
      <w:r>
        <w:rPr>
          <w:b/>
        </w:rPr>
        <w:t>E. 3.1</w:t>
      </w:r>
    </w:p>
    <w:p>
      <w:r>
        <w:t>L'autorité cantonale a considéré que, dans sa plainte, le recourant avait contesté le montant inscrit aux états des charges sous point n° 7 pour l'un et sous point n° 11 pour l'autre et en demandait la modification au vu des calculs à produire par l'intimée. Dans son recours en revanche, il concluait à la radiation des point n</w:t>
      </w:r>
    </w:p>
    <w:p>
      <w:r>
        <w:t>os</w:t>
      </w:r>
    </w:p>
    <w:p>
      <w:r>
        <w:rPr>
          <w:b/>
        </w:rPr>
        <w:t>E. 3.2</w:t>
      </w:r>
    </w:p>
    <w:p>
      <w:r>
        <w:t>En l'espèce, il ressort de la décision de première instance du 4 novembre 2013 que, dans la partie en fait, l'autorité inférieure de surveillance a retenu que, à l'appui de sa plainte, le recourant avait contesté que le montant de la créance sous point n° 7 de l'état des charges de l'immeuble vvv et sous point n° 11 de celui de l'immeuble www puisse figurer dans ce document (p. 6 consid. 3a.i). Elle a exposé la détermination de l'office sur cette question, qui a expliqué que cette créance avait été chiffrée uniquement pour information et que, compte tenu du fait qu'il ne s'agissait pas d'une créance garantie par gage, elle ferait l'objet d'un état de collocation ultérieur (p. 7 consid. 3b). Dans la partie en droit de sa décision, l'autorité inférieure de surveillance a jugé que l'office admettait que seul le juge en validation du séquestre pourrait fixer le montant de cette créance de manière définitive. En outre, celle-ci figurait sous lettre B de l'état des charges, ce qui signifiait qu'elle ne ferait pas l'objet d'une première distribution mais d'un état de collocation ultérieur, au sens de l' art. 146 LP (p. 9 consid. 2c).</w:t>
      </w:r>
    </w:p>
    <w:p>
      <w:r>
        <w:t>Ainsi, l'autorité inférieure de surveillance s'est saisie de la question de savoir si le recourant pouvait, dans sa plainte contre l'état des charges en vue de la réalisation forcée des immeubles, contester qu'une créance non garantie par gage figure dans ce document. L'autorité supérieure de surveillance s'est donc manifestement trompée dans sa lecture du dossier en considérant que la conclusion du recourant sur ce point était nouvelle. Au vu du sort réservé au litige, il n'y a néanmoins pas lieu de renvoyer la cause à cette autorité pour qu'elle s'en saisisse.</w:t>
      </w:r>
    </w:p>
    <w:p>
      <w:r>
        <w:t>4.</w:t>
      </w:r>
    </w:p>
    <w:p>
      <w:r>
        <w:t>Le recourant se plaint de la violation des art. 36 ORFI et 140 LP. Il soutient que le montant de 22'285'713 fr. 35 représente une créance au bénéfice d'un séquestre, donc non garantie par gage. Dépourvue de caractère réel, elle n'est pas une charge. Il en conclut que l'office devait rejeter la réquisition d'inscription et que l'état des charges doit être rectifié en ce sens.</w:t>
      </w:r>
    </w:p>
    <w:p>
      <w:r>
        <w:t>La question qui se pose est donc de savoir si l'office doit inscrire à l'état des charges la restriction du droit d'aliéner résultant du séquestre annotée au registre foncier.</w:t>
      </w:r>
    </w:p>
    <w:p>
      <w:r>
        <w:t>4.1.</w:t>
      </w:r>
    </w:p>
    <w:p>
      <w:r>
        <w:t>4.1.1. Dans les cas prévus à l' art. 271 LP , le créancier d'une dette échue et non garantie par gage peut requérir le séquestre des biens du débiteur qui se trouvent en Suisse. Les art. 91 à 109 LP relatifs à la saisie s'appliquent par analogie à l'exécution du séquestre (cf. art. 275 LP ). A titre de mesure de sûreté, l'art. 101 al. 1 phr. 1 et 2 LP prévoit, pour les immeubles, que la saisie entraîne une restriction du droit d'aliéner. L'office communique sans retard la saisie au registre foncier pour annotation et avec indication de la date et de la somme pour laquelle la saisie a eu lieu.</w:t>
      </w:r>
    </w:p>
    <w:p>
      <w:r>
        <w:t>L'annotation au registre foncier est une opération qui confère à un rapport juridique des effets apparentés à ceux des droits réels ou qui constate que de tels effets existent ( SCHMID/HÜRLIMANN-KAUP, Sachenrecht, 4</w:t>
      </w:r>
    </w:p>
    <w:p>
      <w:r>
        <w:t>ème éd., 2012, n° 470; STEINAUER, Les droits réels, Tome I, 5</w:t>
      </w:r>
    </w:p>
    <w:p>
      <w:r>
        <w:t>ème éd., 2012, n° 765; spéc. au sujet de la restriction du droit d'aliéner: cf. ATF 104 II 170 consid. 5). Elle est instituée aux art. 959 à 961a CC. Il en ressort qu'elle peut avoir pour objet des droits personnels ( art. 959 CC ), des restrictions du droit d'aliéner ( art. 960 CC ), notamment celle résultant d'une saisie ( art. 960 al. 1 ch. 2 CC ; ATF 130 III 669 consid. 5.1), et des inscriptions provisoires ( art. 961 CC ). L'annotation d'une restriction du droit de disposer au sens de l' art. 101 LP rend inopposable aux créanciers saisissants tout droit postérieurement acquis par un tiers sur le bien qui fait l'objet de ladite mesure ( ATF 130 III 669 consid. 5.1; arrêt 7B.186/2001 du 8 octobre 2001 consid. 5). Il s'agit de l'effet typique des annotations. En revanche, elle ne produit pas, contrairement à celles consacrées à l' art. 959 CC , l'effet de rattachement, soit celui qui impose à l'acquéreur de reprendre le rapport juridique qui fait l'objet de l'annotation ( PAUL PIOTET, Les effets typiques des annotations au registre foncier,</w:t>
      </w:r>
    </w:p>
    <w:p>
      <w:r>
        <w:t>in RNRF 1969 II p. 34 ss [69 ss]; SCHMID,</w:t>
      </w:r>
    </w:p>
    <w:p>
      <w:r>
        <w:t>in Basler Kommentar, Zivilgesetzbuch II, Art. 457-977 ZGB, 4</w:t>
      </w:r>
    </w:p>
    <w:p>
      <w:r>
        <w:t>ème éd., 2011, n° 5 ad art. 959 CC ; SCHMID/HÜRLIMANN-KAUP, op. cit., n° 472 et 478; STEINAUER, op. cit., n° 795 et 809, 812 ss).</w:t>
      </w:r>
    </w:p>
    <w:p>
      <w:r>
        <w:t>4.1.2. L'état des charges renseigne sur les droits réels et les obligations réelles qui grèvent l'immeuble. D'une part, l'acquéreur doit avoir connaissance des charges qu'il reprendra avec le bien-fonds et, d'autre part, les créanciers gagistes intéressés doivent savoir, en rapport avec la distribution des deniers, quels sont les droits qui précèdent leurs prétentions et lesquels sont sur le même pied. Les effets de l'état des charges se limitent à la procédure de poursuite en cause ( ATF 129 III 246 consid. 3.1; arrêt 5A_275/2012 du 29 juin 2012 consid. 2.1).</w:t>
      </w:r>
    </w:p>
    <w:p>
      <w:r>
        <w:t>Aux termes de l' art. 140 al. 1 LP , auquel renvoie l' art. 156 LP , l'office " [...] dresse l'état des charges qui grèvent les immeubles (servitudes, charges foncières, gages immobiliers, droits personnels annotés) en se fondant sur les productions des ayants droit et les extraits du registre foncier ". Il prend donc d'office en compte " les charges (servitudes, charges foncières, droits de gage immobilier et droits personnels annotés) " inscrites au registre foncier ( art. 34 al. 1 let. b ORFI ). L'office n'a pas le droit de refuser de porter à l'état des charges celles qui figurent dans l'extrait du registre foncier, ni de les modifier ou de les contester ou d'exiger la production de moyens de preuves ( art. 36 al. 2 ORFI ). Les défauts formels de l'état des charges doivent être attaqués par la voie de la plainte auprès de l'autorité de surveillance (arrêt 5A_275/2012 du 29 juin 2012 consid. 2.1).</w:t>
      </w:r>
    </w:p>
    <w:p>
      <w:r>
        <w:t>Bien que le texte des art. 140 al. 1 LP et 34 al. 1 let. b ORFI ne mentionnent, parmi les charges à inscrire dans l'état des charges, que les droits personnels annotés ( art. 959 CC ), les restrictions du droit d'aliéner au sens de l' art. 960 al. 1 CC en font également partie (arrêt 5A_275/2012 du 20 juin 2012 consid. 2.2 et 2.4; JAEGER/WALDER/KULL/KOTTMANN, Bundesgesetz über Schuldbetreibung und Konkurs, Tome I, Art. 1-158, 4</w:t>
      </w:r>
    </w:p>
    <w:p>
      <w:r>
        <w:t>ème éd., 1997, n° 17 ad art. 140 LP ; INGRID JENT-S ørensen, Die Rechtsdurchsetzung bei der Grundstückverwertung in der Spezialexekution, 2003, n° 111, 122, 297; Kuhn,</w:t>
      </w:r>
    </w:p>
    <w:p>
      <w:r>
        <w:t>in Commentaire ORFI, Adaptation française, 2012, n° 6 ad art. 34 ORFI ; Joos, Handbuch für die Betreibungsamten der Schweiz, 1964, p. 238; Denis Piotet,</w:t>
      </w:r>
    </w:p>
    <w:p>
      <w:r>
        <w:t>in Commentaire romand, Poursuite et faillite, 2005, n° 21 ad art. 140 LP ; Daniel STAEHELIN, Die Aufnahme in das Lastenverzeichnis und die Parteirollenverteilung für den Lastenbereinigungsprozess,</w:t>
      </w:r>
    </w:p>
    <w:p>
      <w:r>
        <w:t>in Schuldbetreibung und Konkurs im Wandel, 2000, p. 287 ss [313]).</w:t>
      </w:r>
    </w:p>
    <w:p>
      <w:r>
        <w:t>Au vu de l'effet typique produit par l'annotation de la restriction du droit d'aliéner résultant d'un séquestre ( art. 960 al. 1 ch. 2 CC ), il n'y a en effet aucune raison de la traiter différemment de celle de droits personnels annotés ( art. 959 CC ), bien que seule cette annotation produise l'effet de rattachement (cf.</w:t>
      </w:r>
    </w:p>
    <w:p>
      <w:r>
        <w:t>supra consid. 4.1.1), et encore moins, comme semble le soutenir un auteur ( GILLIÉRON, Commentaire de la loi fédérale sur la poursuite pour dettes et la faillite, Articles 89-158, 2000, n° 44, 61, 77 ad art. 140 LP ), de celle d'autres restrictions du droit d'aliéner ( art. 960 al. 1 ch. 1 et 3 CC ) qui, elles aussi, produisent uniquement l'effet typique.</w:t>
      </w:r>
    </w:p>
    <w:p>
      <w:r>
        <w:t>4.2. En l'espèce, il est incontesté que, tant en ce qui concerne la parcelle vvv que la parcelle www, la restriction du droit d'aliéner résultant du séquestre en faveur de l'intimée a fait l'objet d'une annotation et que l'office a reporté celle-ci à l'état des charges, sur la base de l'extrait du registre foncier, sous la rubrique " B. Autres charges (servitudes, droits personnels annotés, restrictions du droit d'aliéner, inscriptions provisoires) ". Conformément aux principes susrappelés, cet acte de l'office ne viole pas les art. 140 LP et 36 ORFI. Le grief doit donc être rejeté.</w:t>
      </w:r>
    </w:p>
    <w:p>
      <w:r>
        <w:t>5.</w:t>
      </w:r>
    </w:p>
    <w:p>
      <w:r>
        <w:t>En conclusion, les recours en matière civile sont rejetés. Les frais judiciaires, arrêtés à 6'000 fr., sont mis à la charge du recourant ( art. 66 al. 1 LTF ). Il n'y a pas lieu d'allouer de dépens.</w:t>
      </w:r>
    </w:p>
    <w:p>
      <w:r>
        <w:rPr>
          <w:b/>
        </w:rPr>
        <w:t>E. 7</w:t>
      </w:r>
    </w:p>
    <w:p>
      <w:r>
        <w:t>et 11 au motif que l'office avait inscrit une créance causale non garantie par gage qui ne constituait pas une charge. L'autorité cantonale en a inféré que le recourant prenait ainsi des conclusions nouvelles et développait des griefs qu'il n'avait pas fait valoir en première instance, de sorte que ces deux conclusions étaient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