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5A_393/2023 vom 6. Juli 2023</w:t>
      </w:r>
    </w:p>
    <w:p>
      <w:r>
        <w:t>Bundesgericht, 2023-07-06, FR</w:t>
      </w:r>
    </w:p>
    <w:p>
      <w:r>
        <w:rPr>
          <w:b/>
        </w:rPr>
        <w:t xml:space="preserve">Quelle: </w:t>
      </w:r>
      <w:r>
        <w:t>https://mcp.opencaselaw.ch/entscheid/bger_5A_393_2023</w:t>
      </w:r>
    </w:p>
    <w:p>
      <w:r>
        <w:t>FR: TF 5A_393/2023 du 6 juillet 2023</w:t>
      </w:r>
    </w:p>
    <w:p>
      <w:r>
        <w:t>IT: TF 5A_393/2023 del 6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incident du 22 février 2023, le Président du Tribunal civil de l'arrondissement de Lausanne a déclaré recevable la demande que C.________, E.________ et D.________ ont introduite le 5 août 2021 à l'encontre de A.________ et B.________ (I) et imparti aux défendeurs un délai au 17 avril 2023 pour déposer leur réponse au fond (II), avec suite de frais et dépens (III et IV).</w:t>
      </w:r>
    </w:p>
    <w:p>
      <w:r>
        <w:t>Par arrêt du 5 avril 2023, la Cour d'appel civile du Tribunal cantonal du canton de Vaud a déclaré irrecevable l'appel de A.________, sans percevoir de frais de deuxième instance.</w:t>
      </w:r>
    </w:p>
    <w:p>
      <w:r>
        <w:rPr>
          <w:b/>
        </w:rPr>
        <w:t>E. 2</w:t>
      </w:r>
    </w:p>
    <w:p>
      <w:r>
        <w:t>Par acte expédié le 23 mai 2023, les défendeurs exercent un recours en matière civile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 art. 72 al. 1 LTF . Il apparaît superflu d'examiner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l'autorité précédente a déclaré l'appel irrecevable en raison de sa motivation déficiente: l'appelante présente longuement sa propre version des faits, mais sans étayer sa thèse ni s'en prendre aux constatations de fait du premier juge; son acte ne comporte que des conclusions cassatoires; les moyens soulevés en appel sont identiques à ceux qui ont été déjà présentés en première instance, sans critiques circonstanciées à l'encontre du jugement entrepris. Faute de répondre aux exigences de l' art. 311 al. 1 CPC , l'appel est ainsi irrecevable.</w:t>
      </w:r>
    </w:p>
    <w:p>
      <w:r>
        <w:rPr>
          <w:b/>
        </w:rPr>
        <w:t>E. 4.2.1</w:t>
      </w:r>
    </w:p>
    <w:p>
      <w:r>
        <w:t>L'autorité cantonale a déclaré l'appel irrecevable, sans examiner par surabondance le fond du litige (</w:t>
      </w:r>
    </w:p>
    <w:p>
      <w:r>
        <w:t>cf.</w:t>
      </w:r>
    </w:p>
    <w:p>
      <w:r>
        <w:t>ATF 139 II 233 consid. 3.2 et les arrêts cités). Il s'ensuit que les griefs qui sortent de ce cadre - tirés en particulier de l'application erronée du "</w:t>
      </w:r>
    </w:p>
    <w:p>
      <w:r>
        <w:t>droit international " et de la "</w:t>
      </w:r>
    </w:p>
    <w:p>
      <w:r>
        <w:t>compétence suisse en relation avec la succession du de cujus" - sont d'emblée irrecevables.</w:t>
      </w:r>
    </w:p>
    <w:p>
      <w:r>
        <w:rPr>
          <w:b/>
        </w:rPr>
        <w:t>E. 4.2.2</w:t>
      </w:r>
    </w:p>
    <w:p>
      <w:r>
        <w:t>Il ressort des constatations de l'arrêt attaqué ( art. 105 al. 1 LTF ;</w:t>
      </w:r>
    </w:p>
    <w:p>
      <w:r>
        <w:t>cf.</w:t>
      </w:r>
    </w:p>
    <w:p>
      <w:r>
        <w:t>ATF 140 III 16 consid. 1.3.1) que la demande tend à la "</w:t>
      </w:r>
    </w:p>
    <w:p>
      <w:r>
        <w:t>désignation d'un représentant de la communauté héréditaire dans le cadre de la succession de feu F.________ " ( art. 602 al. 3 CC ). Partant, le litige a pour objet des mesures provisionnelles au sens de l' art. 98 LTF , de sorte que les recourants ne peuvent dénoncer qu'une violation de leurs droits constitutionnels (arrêt 5A_340/2023 du 17 mai 2023 consid. 3 et les références). Or, en l'occurrence, les intéressés ne soulèvent aucun moyen de nature constitutionnelle à l'encontre du motif d'irrecevabilité retenu par l'autorité précédente, exposé selon les exigences posées à l' art. 106 al. 2 LTF ( ATF 135 III 232 consid. 1.2; 134 II 349 consid. 3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); les frais incombent aux recourants, solidairement entre eux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