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5A_393/2014 vom 21. Mai 2014</w:t>
      </w:r>
    </w:p>
    <w:p>
      <w:r>
        <w:t>Bundesgericht, 2014-05-21, DE</w:t>
      </w:r>
    </w:p>
    <w:p>
      <w:r>
        <w:rPr>
          <w:b/>
        </w:rPr>
        <w:t xml:space="preserve">Quelle: </w:t>
      </w:r>
      <w:r>
        <w:t>https://mcp.opencaselaw.ch/entscheid/bger_5A_393_2014</w:t>
      </w:r>
    </w:p>
    <w:p>
      <w:r>
        <w:t>FR: TF 5A_393/2014 du 21 mai 2014</w:t>
      </w:r>
    </w:p>
    <w:p>
      <w:r>
        <w:t>IT: TF 5A_393/2014 del 21 maggio 2014</w:t>
      </w:r>
    </w:p>
    <w:p>
      <w:pPr>
        <w:pStyle w:val="Heading2"/>
      </w:pPr>
      <w:r>
        <w:t>Erwägungen</w:t>
      </w:r>
    </w:p>
    <w:p>
      <w:r>
        <w:rPr>
          <w:b/>
        </w:rPr>
        <w:t>E. 1</w:t>
      </w:r>
    </w:p>
    <w:p>
      <w:r>
        <w:t>Die Beschwerdeführerin wehrt sich gegen den Entscheid, mit dem das Verwaltungsgericht des Kantons Solothurn den Entscheid der KESB Y.________ bestätigt hat, sie für sechs Wochen fürsorgerisch unterzubringen. Das ist ein Endentscheid ( Art. 90 BGG ) einer letzten kantonalen Instanz ( Art. 75 Abs. 1 BGG ) in einer öffentlich-rechtlichen Angelegenheit, die in unmittelbarem Zusammenhang mit dem Zivilrecht steht (Art. 72 Abs. 2 Bst. b Ziff. 6 BGG). Die Beschwerde ist rechtzeitig erfolgt ( Art. 100 Abs. 1 BGG ). Ob die Beschwerdeführerin ein im Sinne von Art. 76 Abs. 1 Bst. b BGG schutzwürdiges Interesse an der Überprüfung der zeitlich befristeten fürsorgerischen Unterbringung hat, kann angesichts der folgenden Erwägungen offenbleiben.</w:t>
      </w:r>
    </w:p>
    <w:p>
      <w:r>
        <w:rPr>
          <w:b/>
        </w:rPr>
        <w:t>E. 2.1</w:t>
      </w:r>
    </w:p>
    <w:p>
      <w:r>
        <w:t>Rechtsschriften haben ein Begehren zu enthalten ( Art. 42 Abs. 1 BGG ). Wie alle Prozesshandlungen sind auch Rechtsschriften nach Treu und Glauben auszulegen (s. Urteil 5A_474/2013 vom 10. Dezember 2013 E. 6.2.3). Im vorliegenden Fall verlangt die Beschwerdeführerin "Rehabilitation". Im Kontext der Beschwerde kann man darin den Antrag erblicken, sofort, das heisst vor Ablauf der von der KESB Y.________ verfügten Dauer von sechs Wochen (s. Sachverhalt Bst. A) aus der Klinik entlassen zu werden.</w:t>
      </w:r>
    </w:p>
    <w:p>
      <w:r>
        <w:rPr>
          <w:b/>
        </w:rPr>
        <w:t>E. 2.2</w:t>
      </w:r>
    </w:p>
    <w:p>
      <w:r>
        <w:t>Sodann ist die Beschwerde an das Bundesgericht zu begründen ( Art. 42 Abs. 2 BGG ). Das Rechtsmittel an das Bundesgericht unterscheidet sich damit von der Beschwerde an die gerichtliche Beschwerdeinstanz im Sinne von Art. 450 ff. ZGB - hier an das Verwaltungsgericht des Kantons Solothurn -, für deren Gültigkeit nach expliziter Anordnung des Gesetzes keine Angaben von Gründen nötig ist ( Art. 450e Abs. 1 ZGB ).</w:t>
      </w:r>
    </w:p>
    <w:p>
      <w:r>
        <w:t>Verlangt das Gesetz eine Begründung, so bedeutet dies, dass die Beschwerdeführerin mit ihrer Kritik an den Erwägungen der Vorinstanz anzusetzen hat, die sie als rechtsfehlerhaft erachtet (vgl. BGE 121 III 397 E. 2a S. 400; Urteil 4A_22/2008 vom 10. April 2008 E. 1). Allgemein gehaltene Einwände, die sie ohne aufgezeigten oder erkennbaren Zusammenhang mit bestimmten Entscheidungsgründen vorbringt, genügen nicht ( BGE 116 II 745 E. 3 S. 749). Strengere Anforderungen gelten, wenn die Verletzung von Grundrechten und von kantonalem und interkantonalem Recht geltend gemacht wird. Diesen Vorwurf prüft das Bundesgericht nicht von Amtes wegen, sondern nur insoweit, als eine entsprechende Rüge in der Beschwerde vorgebracht und begründet worden ist ( Art. 106 Abs. 2 BGG ; BGE 134 II 244 E. 2.2 S. 246; 133 II 249 E. 1.4 S. 254; je mit Hinweisen). Das Gleiche gilt, soweit die Beschwerdeführerin der Vorinstanz vorwirft, den Sachverhalt nicht richtig festgestellt zu haben.</w:t>
      </w:r>
    </w:p>
    <w:p>
      <w:r>
        <w:t>Der Eingabe der Beschwerdeführerin lässt sich keine Begründung entnehmen, die den geschilderten Anforderungen genügt. Die Beschwerdeführerin bestreitet nicht, dass die Vorinstanz im vorliegenden Verfahren - anders als im Verfahren, das zum Urteil 5A_469/2013 vom 17. Juli 2013 geführt hat - korrekt vorgegangen ist. Vielmehr begnügt sie sich mit der Behauptung, das Gutachten beschreibe nicht den Ist-Zustand und sie sei im Vollbesitz ihrer geistigen Kräfte. Das allein genügt als Begründung nicht. Das Gleiche gilt für das mit der Beschwerde eingereichte vorinstanzliche Urteil. Dieses hat die Beschwerdeführerin dahin gehend verändert, dass sie gewisse Passagen und Aussagen darin von Hand durchgestrichen hat. Zwar ist zu vermuten, dass es sich dabei um jene Stellen handelt, mit denen die Beschwerdeführerin nicht einverstanden ist. Dem Bundesgericht ist aber keine solche Motivforschung zuzumuten. Entsprechend vermag auch das dergestalt ausgezeichnete vorinstanzliche Urteil die nötige Begründung der Beschwerde nicht zu ersetzen.</w:t>
      </w:r>
    </w:p>
    <w:p>
      <w:r>
        <w:rPr>
          <w:b/>
        </w:rPr>
        <w:t>E. 3</w:t>
      </w:r>
    </w:p>
    <w:p>
      <w:r>
        <w:t>Mangels genügender Begründung kann auf die Beschwerde nicht eingetreten werden. Die Beschwerdeführerin unterliegt und wird grundsätzlich kostenpflichtig. 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