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5A_393/2010 vom 9. März 2011</w:t>
      </w:r>
    </w:p>
    <w:p>
      <w:r>
        <w:t>Bundesgericht, 2011-03-09, FR</w:t>
      </w:r>
    </w:p>
    <w:p>
      <w:r>
        <w:rPr>
          <w:b/>
        </w:rPr>
        <w:t xml:space="preserve">Quelle: </w:t>
      </w:r>
      <w:r>
        <w:t>https://mcp.opencaselaw.ch/entscheid/bger_5A_393_2010</w:t>
      </w:r>
    </w:p>
    <w:p>
      <w:r>
        <w:t>FR: TF 5A_393/2010 du 9 mars 2011</w:t>
      </w:r>
    </w:p>
    <w:p>
      <w:r>
        <w:t>IT: TF 5A_393/2010 del 9 marzo 2011</w:t>
      </w:r>
    </w:p>
    <w:p>
      <w:pPr>
        <w:pStyle w:val="Heading2"/>
      </w:pPr>
      <w:r>
        <w:t>Erwägungen</w:t>
      </w:r>
    </w:p>
    <w:p>
      <w:r>
        <w:rPr>
          <w:b/>
        </w:rPr>
        <w:t>E. 1.1</w:t>
      </w:r>
    </w:p>
    <w:p>
      <w:r>
        <w:t>L'arrêt entrepris, rendu en matière civile ( art. 72 al. 1 LTF ) par une autorité cantonale de dernière instance statuant sur recours ( art. 75 LTF ), est une décision finale ( art. 90 LTF ), aussi bien dans son prononcé sur le fond que sur mesures provisoires ( ATF 134 III 426 consid. 2.2 p. 431/432). Dès lors que le litige soumis au Tribunal fédéral porte exclusivement sur les contributions d'entretien allouées tant en mesures provisoires que sur le fond, il est de nature pécuniaire ( ATF 133 III 393 consid. 2 p. 395). La valeur litigieuse, calculée sur la base de l'art. 51 al. 1 let. a et al. 4, première phrase, LTF, dépasse le minimum de 30'000 fr. fixé par la loi pour la recevabilité du recours en matière civile s'agissant du fond ( art. 74 al. 1 let. b LTF ). Le point de savoir si la valeur litigieuse est également atteinte pour les mesures provisionnelles peut demeurer indécis; en effet, le Tribunal fédéral examine les griefs soulevés dans le recours en matière civile concernant des mesures provisionnelles, où sa cognition est limitée à la violation des droits constitutionnels ( art. 98 LTF ), avec le même pouvoir d'examen que dans le recours constitutionnel subsidiaire ( art. 116 LTF ). Pour le surplus, le recourant a qualité pour recourir ( art. 76 al. 1 LTF ). Enfin, le mémoire de recours a été déposé dans le délai ( art. 100 al. 1 LTF ) et la forme ( art. 42 LTF ) prévus par la loi. Partant, la voie du recours en matière civile est en principe ouverte, de sorte que le recours constitutionnel est irrecevable ( art. 113 LTF ).</w:t>
      </w:r>
    </w:p>
    <w:p>
      <w:r>
        <w:rPr>
          <w:b/>
        </w:rPr>
        <w:t>E. 1.2</w:t>
      </w:r>
    </w:p>
    <w:p>
      <w:r>
        <w:t>Le délai pour recourir contre l'arrêt du 16 avril 2010 était largement échu lorsque l'intimée a déposé ses réponses aux recours. Par conséquent, elle ne pouvait que proposer l'irrecevabilité ou le rejet, en tout ou partie, desdits recours; elle n'avait plus la faculté de prendre des conclusions indépendantes, c'est-à-dire, en l'occurrence, de conclure à une modification de la décision attaquée en sa faveur, vu l'abolition du recours joint (BERNARD CORBOZ, Commentaire de la LTF, n. 29, 32 et 33 ad art. 102).</w:t>
      </w:r>
    </w:p>
    <w:p>
      <w:r>
        <w:rPr>
          <w:b/>
        </w:rPr>
        <w:t>E. 2</w:t>
      </w:r>
    </w:p>
    <w:p>
      <w:r>
        <w:t>Après avoir admis, comme dans les précédentes décisions rendues entre les parties, la compétence des juridictions genevoises pour connaître de l'action au fond du demandeur (art. 5 ch. 2 de la Convention de Lugano; art. 64 al. 1 et 59 let. b LDIP ) et de sa requête de mesures provisionnelles ( art. 62 al. 1 LDIP ; ATF 116 II 97 consid. 4b p. 98/99), compétence que les parties ne contestent pas, la Cour de justice a considéré que le droit français était applicable à l'action au fond ( art. 64 al. 2 et 49 LDIP , art. 8 de la Convention de La Haye du 2 octobre 1973 sur la loi applicable aux obligations alimentaires [RS 0.211.213.01]) et le droit suisse aux mesures provisionnelles ( art. 62 al. 2 LDIP ), ce que les parties ne remettent pas non plus en cause.</w:t>
      </w:r>
    </w:p>
    <w:p>
      <w:r>
        <w:rPr>
          <w:b/>
        </w:rPr>
        <w:t>E. 3</w:t>
      </w:r>
    </w:p>
    <w:p>
      <w:r>
        <w:t>Le recourant se plaint d'une violation arbitraire de l' art. 300 LPC /GE. Il soutient que, dans son appel incident, l'intimée n'a soulevé aucun grief contre le jugement de première instance, omettant même de conclure à son annulation. Elle a, selon lui, demandé la confirmation de ce jugement, tout en prenant des conclusions modifiant celui-ci. De plus, elle aurait sollicité contradictoirement la modification du jugement de divorce dès le prononcé de l'arrêt de la Cour de justice et celle des mesures provisoires dès le 10 mai 2002. Partant, son appel incident devait être déclaré irrecevable.</w:t>
      </w:r>
    </w:p>
    <w:p>
      <w:r>
        <w:rPr>
          <w:b/>
        </w:rPr>
        <w:t>E. 3.1</w:t>
      </w:r>
    </w:p>
    <w:p>
      <w:r>
        <w:t>En cas d'appel d'une des parties, les autres peuvent interjeter appel incident dans le délai imparti pour répondre à l'appel principal ( art. 298 LPC /GE). Les formes prévues pour l'appel principal doivent être respectées (BERTOSSA/GAILLARD/GUYET/SCHMIDT, Commentaire de la loi de procédure civile genevoise, tome II, n. 6 ad art. 298).</w:t>
      </w:r>
    </w:p>
    <w:p>
      <w:r>
        <w:t>Aux termes de l' art. 300 LPC /GE, l'appel est formé, à peine de nullité, par un mémoire signé, adressé au greffe de la cour, et qui comporte, notamment, les griefs de fait et de droit de même que les conclusions de l'appelant. Dans l'hypothèse d'un appel ordinaire - ce qui est le cas ici -, la jurisprudence cantonale a posé que l'appelant doit articuler les critiques qu'il forme contre le jugement d'une manière suffisamment intelligible pour que l'intimé, à la lecture du mémoire et non dans un acte ultérieur, puisse se déterminer sur la position à adopter devant la cour (SJ 1992 I 402 consid. 1; BERTOSSA/GAILLARD/GUYET/SCHMIDT, op. cit., n. 1 ad art. 300). De plus, l'acte d'appel doit non seulement demander la réforme du jugement entrepris, mais préciser les conclusions de fond suivant lesquelles il doit être modifié (arrêt 5P.1/2001 du 16 mars 2001, consid. 2 et la jurisprudence cantonale citée).</w:t>
      </w:r>
    </w:p>
    <w:p>
      <w:r>
        <w:rPr>
          <w:b/>
        </w:rPr>
        <w:t>E. 3.2</w:t>
      </w:r>
    </w:p>
    <w:p>
      <w:r>
        <w:t>En l'espèce, le grief est infondé. Dans son mémoire de réponse à l'appel et d'appel incident, l'intimée a désigné les points sur lesquels portait sa critique. Elle a en effet exposé, comme l'a du reste considéré la Cour de justice, une opinion divergente de celle de l'autorité de première instance s'agissant, en particulier, du solde du prix de vente de l'appartement sis rue ... à Genève, reprochant expressément au Tribunal de première instance de s'être borné à mentionner cette opération immobilière sans en déduire que le recourant avait caché cet argent, dont les revenus auraient selon elle dû être pris en compte (ch. 28 de l'écriture précitée).</w:t>
      </w:r>
    </w:p>
    <w:p>
      <w:r>
        <w:t>En ce qui concerne les conclusions prises dans ledit mémoire, le recourant occulte la constatation de la cour cantonale, selon laquelle l'intimée a complété celles-ci à l'audience de plaidoiries du 5 mars 2010, sollicitant notamment l'annulation du jugement de première instance du 1er octobre 2009. Se référant aux commentateurs (BERTOSSA/GAILLARD/GUYET/SCHMIDT, op. cit., n. 2 ad art. 300), le recourant expose que l'appelant ne peut corriger une irrégularité de son mémoire après le délai d'appel. Cette seule affirmation ne suffit pas à démontrer que l'autorité cantonale aurait fait preuve d'arbitraire sur ce point ( art. 106 al. 2 LTF ), d'autant que les conclusions de l'intimée tendant au versement d'une contribution mensuelle de 3'500 fr., tant sur mesures provisoires que sur le fond, impliquaient de facto l'annulation du jugement de première instance, qui se bornait à lui allouer une rente compensatoire d'un montant de 1'850 fr. par mois. La prétendue contradiction entre l'entrée en force de la modification sur le fond et celle des nouvelles mesures provisoires ne permet pas non plus de considérer que les conclusions de l'appel incident ne satisfaisaient pas aux exigences du droit cantonal (BERTOSSA/GAILLARD/GUYET/SCHMIDT, op. cit., n. 9 ad art. 300 LPC /GE).</w:t>
      </w:r>
    </w:p>
    <w:p>
      <w:r>
        <w:t>Autant que son grief est suffisamment motivé ( art. 106 al. 2 LTF ), le recourant ne démontre donc pas qu'en entrant en matière sur l'appel incident formé devant elle par l'intimée, la Cour de justice aurait fait une application insoutenable de l' art. 300 LPC /GE.</w:t>
      </w:r>
    </w:p>
    <w:p>
      <w:r>
        <w:rPr>
          <w:b/>
        </w:rPr>
        <w:t>E. 4</w:t>
      </w:r>
    </w:p>
    <w:p>
      <w:r>
        <w:t>Le recourant reproche aussi à la Cour de justice d'avoir violé l' art. 61 LTF en considérant qu'il aurait dû solliciter des mesures probatoires supplémentaires, aux fins d'établir l'utilisation du produit de la vente de l'appartement de la rue ..., en novembre 1994. A l'appui de ce grief, il expose que, dans son arrêt de renvoi du 26 mars 2007, le Tribunal fédéral a estimé que la seule question encore litigieuse, sur laquelle l'autorité cantonale devait se prononcer, était celle de la variation de sa fortune entre 1999 et 2000. Il se plaint en outre à cet égard d'une violation des art. 8 CC et 9 Cst.</w:t>
      </w:r>
    </w:p>
    <w:p>
      <w:r>
        <w:rPr>
          <w:b/>
        </w:rPr>
        <w:t>E. 4.1</w:t>
      </w:r>
    </w:p>
    <w:p>
      <w:r>
        <w:t>Le principe de l'autorité de l'arrêt de renvoi, que prévoyait expressément l'art. 66 al. 1 aOJ, est un principe juridique qui demeure applicable sous la LTF ( ATF 135 III 334 consid. 2 p. 335 et les arrêts cités). L'autorité cantonale est ainsi liée par ce qui a déjà été définitivement tranché par le Tribunal fédéral ( ATF 104 IV 276 consid. 3b p. 277; 103 IV 73 consid. 1 p. 74) et par les constatations de fait qui n'ont pas été attaquées devant lui ( ATF 104 IV 276 consid. 3d p. 277/278). Des faits nouveaux ne peuvent être pris en considération que sur les points qui ont fait l'objet du renvoi, lesquels ne peuvent être ni étendus ni fixés sur une base juridique nouvelle ( ATF 131 III 91 consid. 5.2 p. 94). Enfin, les considérants de l'arrêt de renvoi lient les parties et le Tribunal fédéral lui-même. Celui-ci ne peut dès lors se fonder sur des considérations qu'il avait écartées ou dont il avait fait abstraction dans sa précédente décision ( ATF 111 II 94 consid. 2 p. 95). Les parties ne peuvent quant à elles plus faire valoir, dans un nouveau recours de droit fédéral contre la nouvelle décision cantonale, des moyens que le Tribunal fédéral avait expressément rejetés dans l'arrêt de renvoi ( ATF 133 III 201 consid. 4.2 p. 208) ou qu'il n'avait pas eu à examiner, les parties ayant omis de les invoquer dans la première procédure de recours, alors qu'elles pouvaient - et devaient - le faire (arrêt 2C_184/2007 du 4 septembre 2007, consid. 3.1; ATF 111 II 94 consid. 2 p. 95/96); elles ne peuvent pas non plus prendre des conclusions dépassant celles prises dans leur précédent recours devant le Tribunal fédéral (arrêt 5A_580/2010 du 9 novembre 2010 consid. 4.3 et les références citées).</w:t>
      </w:r>
    </w:p>
    <w:p>
      <w:r>
        <w:rPr>
          <w:b/>
        </w:rPr>
        <w:t>E. 4.2</w:t>
      </w:r>
    </w:p>
    <w:p>
      <w:r>
        <w:t>Dans son arrêt de renvoi du 26 mars 2007, le Tribunal fédéral a jugé que la Cour de justice avait fait preuve d'arbitraire en laissant inexpliquée la diminution de fortune brute du demandeur entre 1999 et 2000, de plus de 1'400'000 fr. (1'757'617 fr. - 316'404 fr. = 1'441'213 fr.), et en constatant que les moyens financiers du demandeur se limitaient exclusivement à son revenu, de sorte que la contribution à l'entretien de la défenderesse devait être fixée au seul disponible du débirentier, soit 1'700 fr. Le Tribunal fédéral a en revanche rejeté les griefs de la recourante relatifs au refus d'ordonner, d'une part, une expertise visant à établir l'état réel de la fortune de son ex-mari et, d'autre part, l'audition de témoins. En ce qui concerne la vente de l'appartement de la rue ..., intervenue en 1994, le Tribunal fédéral a déclaré irrecevable, faute d'épuisement des griefs (art. 86 al. 1 aOJ), la critique de la défenderesse selon laquelle, dans la mesure où sur les 1'600'000 fr. résultant de cette vente, seuls 625'000 fr. avaient été investis dans l'achat d'un nouvel appartement, une investigation supplémentaire s'imposait concernant l'utilisation du solde de 780'000 fr.</w:t>
      </w:r>
    </w:p>
    <w:p>
      <w:r>
        <w:t>Il appert ainsi que le seul point sur lequel le Tribunal fédéral a renvoyé l'affaire à l'autorité cantonale, sans autre précision, portait sur la diminution de fortune inexpliquée du demandeur entre 1999 et 2000.</w:t>
      </w:r>
    </w:p>
    <w:p>
      <w:r>
        <w:rPr>
          <w:b/>
        </w:rPr>
        <w:t>E. 4.3</w:t>
      </w:r>
    </w:p>
    <w:p>
      <w:r>
        <w:t>Selon les constatations de l'arrêt attaqué, la fortune brute déclarée aux autorités fiscales par le demandeur et sa seconde épouse en 1999, d'un montant de 1'757'600 fr., se composait principalement d'une créance correspondant au prix de vente d'un appartement sis rue ... à Genève, copropriété du couple, d'un immeuble en Italie, propriété exclusive du demandeur, d'un immeuble à Lausanne, propriété exclusive de son épouse, ainsi que de deux autres créances. En 2000, après son second divorce, le demandeur avait déclaré une fortune brute de 316'404 fr. composée de comptes bancaires, de l'immeuble situé en Italie, de numéraire, de métaux précieux et de véhicules.</w:t>
      </w:r>
    </w:p>
    <w:p>
      <w:r>
        <w:t>L'autorité cantonale a considéré que seules trois opérations bancaires effectuées par le demandeur restaient inexpliquées, à savoir des prélèvements de 30'000 fr. le 12 février 1999, de 20'000 fr. le 1er mars 1999 et de 30'000 fr. le 2 septembre 1999. La Cour de justice a par ailleurs retenu qu'en novembre 1994, le demandeur avait vendu l'appartement de la rue ... pour un montant de 1'600'000 fr. Il était établi qu'une somme d'environ 670'000 fr. provenant de cette vente avait été investie dans l'achat de l'appartement de la rue ...; en outre, un montant de 150'000 fr. figurait sur l'un de ses comptes bancaires le 17 janvier 1995. En revanche, le demandeur n'avait pas démontré ce qu'il était advenu du solde du prix de vente de l'appartement de la rue ..., notamment sur quel compte ce solde avait été déposé. Sa seconde épouse avait témoigné sous serment qu'il avait mis cet argent de côté. Il convenait dès lors de retenir qu'il avait déposé la somme de 780'000 fr. (1'600'000 fr. - 670'000 - 150'000 fr.) sur un compte non déclaré. Comme il n'avait pas prouvé ce qu'il était advenu de ce capital de novembre 1994 à ce jour, il y avait lieu d'admettre qu'il le possédait toujours dans son intégralité.</w:t>
      </w:r>
    </w:p>
    <w:p>
      <w:r>
        <w:t>L'autorité cantonale en a déduit que le demandeur dissimulait une fortune d'environ 860'000 fr., correspondant aux sorties d'argent restées inexpliquées de 80'000 fr. (30'000 fr. + 20'000 fr. + 30'000 fr.) et au solde dissimulé du prix de vente de l'appartement de la rue ... (780'000 fr.). Considérant qu'en plaçant cet argent de manière conservatoire, le demandeur était en mesure d'en tirer un revenu de 2% (le rendement des obligations de la Confédération étant de 1,9%), les juges précédents ont estimé qu'il convenait de lui imputer un revenu supplémentaire de 17'200 fr. par an, ou environ 1'400 fr. par mois. Vu l'entrée en vigueur des nouvelles normes d'insaisissabilité 2010, fixant l'entretien de base d'une personne seule à 1'200 fr., soit 100 fr. de plus qu'en 2009, le disponible du demandeur était donc, non pas de 1'882 fr. comme l'avait retenu le jugement du Tribunal de première instance du 1er octobre 2009, mais de 3'182 fr. par mois (1'882 fr. - 100 fr. + 1'400 fr.). Le déficit mensuel de la défenderesse étant de 1'707 fr., il convenait de fixer à 3'000 fr. le montant de la contribution mensuellement due à celle-ci.</w:t>
      </w:r>
    </w:p>
    <w:p>
      <w:r>
        <w:rPr>
          <w:b/>
        </w:rPr>
        <w:t>E. 4.4</w:t>
      </w:r>
    </w:p>
    <w:p>
      <w:r>
        <w:t>En raisonnant ainsi, la Cour de justice a méconnu la portée de l'arrêt de renvoi du 26 mars 2007 et versé dans l'arbitraire. Dès lors que le Tribunal fédéral avait déclaré irrecevable le grief de la défenderesse relatif aux investigations à ordonner en relation avec l'utilisation du solde du produit de la vente de l'appartement de la rue ..., limitant expressément le renvoi à la question de la diminution de fortune du demandeur entre 1999 et 2000, il était exclu d'examiner si, antérieurement - la fortune déclarée en 1999 ne comprenant manifestement pas le montant de 780'000 fr. (cf. supra, consid. 4.3 in limine) -, le demandeur avait dissimulé une partie du prix de vente de cet appartement. Seuls les montants de 20'000 fr. et de deux fois 30'000 fr., prélevés de manière inexpliquée par le demandeur en 1999, peuvent dès lors être pris en compte, à l'exclusion de la somme de 780'000 fr. prétendument dissimulée; au demeurant, comme la défenderesse n'a pas contesté en tant que telle l'absence de prise en compte, par l'arrêt de la Cour de justice du 15 septembre 2006 - selon lequel les moyens financiers du demandeur se limitaient exclusivement à son revenu -, de l'état de fortune du demandeur en 2000 (316'404 fr., cf. supra consid. 4.3 in limine), il n'y a pas non plus lieu d'en tenir compte.</w:t>
      </w:r>
    </w:p>
    <w:p>
      <w:r>
        <w:t>Le recourant ne conteste pas les autres montants retenus par l'autorité cantonale concernant la situation financière de chacune des parties, ni le taux de 2% auquel elle estime qu'il pourrait placer sa fortune. Si l'on reprend dès lors les calculs effectués par la Cour de justice en faisant abstraction des 780'000 fr. précités et en arrondissant les résultats obtenus dans le même ordre de grandeur qu'elle, le revenu supplémentaire imputable au demandeur n'est pas de 1'400 fr., mais de 130 fr. par mois environ (2% de 80'000 fr. : 12). Son disponible mensuel doit ainsi être arrêté à 1'912 fr. (1'882 fr. - 100 fr. + 130 fr.) au lieu de 3'182 fr. (1'882 fr. - 100 fr. + 1'400 fr.). Eu égard au déficit de la défenderesse, qui s'élève à 1'707 fr. par mois, et de la proportion appliquée par les juges précédents sans qu'elle ne soit critiquée, il convient d'arrêter le montant de la prestation compensatoire à 1'800 fr. par mois.</w:t>
      </w:r>
    </w:p>
    <w:p>
      <w:r>
        <w:t>L'autorité cantonale a réglé la question de la prise d'effet de la nouvelle pension dans le dispositif de son arrêt, conformément au considérant 4 de celui-ci: elle a ainsi fait remonter l'effet de la modification au 25 octobre 2000, soit à la date de la demande de révision, selon le droit français. Le recourant ne conteste pas ce point, puisqu'il conclut expressément à ce qu'il soit condamné à verser la nouvelle rente compensatoire dès le 25 octobre 2000.</w:t>
      </w:r>
    </w:p>
    <w:p>
      <w:r>
        <w:rPr>
          <w:b/>
        </w:rPr>
        <w:t>E. 4.5</w:t>
      </w:r>
    </w:p>
    <w:p>
      <w:r>
        <w:t>Il convient par ailleurs de rappeler que les mesures provisionnelles ordonnées pour la durée de la procédure de modification du jugement de divorce sont des mesures d'exécution anticipée provisoires, dont le sort définitif est ensuite réglé dans le jugement de modification au fond ( ATF 117 II 368 consid. 4c/bb p. 371). Le juge de la modification doit donc statuer dans le dispositif de son jugement sur les contributions dues pour toute la période courant dès l'ouverture de l'action, les montants alloués en mesures provisoires étant décomptés ( ATF 130 I 347 consid. 3.2 p. 349/350). Tel est le cas en l'occurrence. Partant, le litige portant sur les mesures provisoires devient sans objet.</w:t>
      </w:r>
    </w:p>
    <w:p>
      <w:r>
        <w:rPr>
          <w:b/>
        </w:rPr>
        <w:t>E. 5</w:t>
      </w:r>
    </w:p>
    <w:p>
      <w:r>
        <w:t>En conclusion, il convient d'admettre le recours, dans la mesure de sa recevabilité, et de réformer l'arrêt attaqué dans le sens des considérants qui précèdent. La requête d'assistance judiciaire de l'intimée, dont les conclusions étaient d'emblée vouées à l'échec, ne saurait donc être agréée ( art. 64 LTF ). Celle-ci supportera dès lors les frais et dépens de la présente procédure (art. 66 al. 1 et 68 al. 1 et 2 LTF). Il n'y a pas lieu de modifier la répartition des frais et dépens de la procédure cantonale (cf. art. 67 et 68 al. 5 LTF ), que la Cour de justice a compensés eu égard à la qualité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