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392/2010 vom 2. November 2010</w:t>
      </w:r>
    </w:p>
    <w:p>
      <w:r>
        <w:t>Bundesgericht, 2010-11-02, FR</w:t>
      </w:r>
    </w:p>
    <w:p>
      <w:r>
        <w:rPr>
          <w:b/>
        </w:rPr>
        <w:t xml:space="preserve">Quelle: </w:t>
      </w:r>
      <w:r>
        <w:t>https://mcp.opencaselaw.ch/entscheid/bger_5A_392_2010</w:t>
      </w:r>
    </w:p>
    <w:p>
      <w:r>
        <w:t>FR: TF 5A 392/2010 du 2 novembre 2010</w:t>
      </w:r>
    </w:p>
    <w:p>
      <w:r>
        <w:t>IT: TF 5A 392/2010 del 2 novembre 2010</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au sens de l' art. 90 LTF ( ATF 133 III 393 consid. 4 p. 395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 ATF 133 III 393 consid. 5 p. 396, 585 consid. 3.3 p. 587 et la jurisprudence citée), seule peut être invoquée la violation de droits constitutionnels ( art. 98 LTF ). Le Tribunal fédéral n'examine de tels griefs que s'ils ont été invoqués et motivés ( art. 106 al. 2 LTF ), c'est-à-dire expressément soulevés et exposés de façon claire et détaillée (principe d'allégation; ATF 133 II 249 consid. 1.4.2 p. 254; 133 III 393 consid. 6 p. 397, 638 consid. 2; 133 IV 286 consid. 1.4 p. 287).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repose sur une application de la loi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p. 153; 133 II 257 consid. 5.1 p. 260; 133 III 462 consid. 4.4.1 p. 470).</w:t>
      </w:r>
    </w:p>
    <w:p>
      <w:r>
        <w:rPr>
          <w:b/>
        </w:rPr>
        <w:t>E. 2</w:t>
      </w:r>
    </w:p>
    <w:p>
      <w:r>
        <w:t>Selon le recourant, la Cour de justice a arbitrairement apprécié les preuves et établi les faits en retenant qu'il percevait un revenu mensuel moyen de 18'557 fr. 50 au lieu de 14'207 fr. A l'appui de ce grief, il expose que, contrairement à l'opinion des juges précédents, les «frais non refacturables» figurant au bilan de son activité doivent être déduits de ses honoraires, l'autorité cantonale ayant considéré à tort que ce poste pouvait comprendre ses cotisations aux assurances sociales.</w:t>
      </w:r>
    </w:p>
    <w:p>
      <w:r>
        <w:rPr>
          <w:b/>
        </w:rPr>
        <w:t>E. 2.1</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et ont une influence sur le résultat de la décision. Dans le domaine de l'appréciation des preuves et de la constatation des faits, le Tribunal fédéral se montre réservé, vu le large pouvoir qu'il reconnaît en la matière à l'autorité cantonale ( ATF 120 Ia 31 consid. 4b p. 40; 118 Ia 28 consid. 1b p. 30 et les arrêts cités). Il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p. 9); encore faut-il que la correction du vice soit susceptible d'influer sur le sort de la cause (art. 97 al. 1 in fine LTF). Cette retenue est d'autant plus grande lorsque le juge n'examine la cause que d'une manière sommaire et provisoire ( ATF 130 III 321 consid. 3.3 p. 325 et les arrêts cités).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w:t>
      </w:r>
    </w:p>
    <w:p>
      <w:r>
        <w:rPr>
          <w:b/>
        </w:rPr>
        <w:t>E. 2.2</w:t>
      </w:r>
    </w:p>
    <w:p>
      <w:r>
        <w:t>Selon l'autorité cantonale, les bilans et les comptes d'exploitation du mari présentent, selon les années, des différences de comptabilisation qui justifient de procéder à un nouveau calcul des revenus de celui-ci. Dans ce cadre, seuls les frais d'administration seront toutefois pris en considération, à l'exclusion des «frais non refacturables», dont la nature n'est pas connue. Ainsi, pour l'année 2006, la Cour de justice a commencé par déduire des honoraires totaux, représentant une somme de 454'523 fr. 75, les frais d'administration, par 301'620 fr. 55 (sans les «frais refacturables», censés correspondre aux cotisations d'assurances sociales). Elle s'est ensuite fondée sur ce «bénéfice intermédiaire» (454'523 fr. 75 - 301'620 fr. 55 = 152'903 fr. 20) pour calculer le montant des cotisations sociales versées par l'intéressé en sa qualité d'indépendant, cotisations qu'elle a ajoutées aux charges initiales (soit un total de 318'724 fr. 30). Le bénéfice net réalisé par le mari s'élevait par conséquent à 135'799 fr. 45 (honoraires totaux: 454'523 fr. 75 - charges totales: 318'724 fr. 30). Il convenait encore d'augmenter ce montant des 70'536 fr. 50 provenant de l'exercice, en parallèle, d'une activité dépendante, d'où un revenu net global de 206'335 fr. 95 (135'799 fr. 45 + 70'536 fr. 50). Procédant de la même manière pour les années 2007 et 2008, les juges précédents ont retenu, sur la base des chiffres obtenus, que la moyenne des revenus annuels du mari, calculée sur trois ans, s'élevait à 222'690 fr. 65, ou 18'557 fr. 50 par mois.</w:t>
      </w:r>
    </w:p>
    <w:p>
      <w:r>
        <w:rPr>
          <w:b/>
        </w:rPr>
        <w:t>E. 2.3</w:t>
      </w:r>
    </w:p>
    <w:p>
      <w:r>
        <w:t>Le recourant se contente d'affirmer, sans se référer à des pièces du dossier, que l'autorité cantonale a arbitrairement apprécié les preuves en considérant, sans aucune raison sérieuse, que le poste intitulé «frais non refacturables» pouvait comprendre ses cotisations versées aux assurances sociales en tant qu'indépendant. Par cette critique, il se contente de faire valoir son opinion, sans démontrer en quoi la décision attaquée serait insoutenable sur ce point. A cet égard, il convient de relever que la Cour de justice n'a pas manqué de prendre ses cotisations d'assurances sociales en considération, puisqu'après les avoir elle-même calculées, elle les a déduites de ses honoraires avec ses autres charges. Or, le recourant n'indique pas, et a fortiori n'établit pas, à quels autres coûts, susceptibles d'être également déduits, ces «frais non refacturables» pourraient correspondre. Pour le surplus, il ne s'en prend pas au raisonnement détaillé effectué par la cour cantonale quant à la détermination de ses revenus. Autant qu'il est suffisamment motivé, le moyen est dès lors infondé.</w:t>
      </w:r>
    </w:p>
    <w:p>
      <w:r>
        <w:rPr>
          <w:b/>
        </w:rPr>
        <w:t>E. 3</w:t>
      </w:r>
    </w:p>
    <w:p>
      <w:r>
        <w:t>Se plaignant de violation arbitraire des art. 176 al. 1 et 125 CC , le recourant reproche en outre à l'autorité cantonale d'avoir appliqué la méthode dite du minimum vital, avec répartition de l'excédent par moitié entre les conjoints, pour fixer la contribution d'entretien en faveur de l'épouse. Il soutient qu'en présence, comme en l'espèce, d'une situation matérielle favorable, il convenait de se fonder sur les dépenses indispensables au maintien du train de vie antérieur de l'intimée, lequel n'a pas été établi. Il prétend par ailleurs que le montant de 7'300 fr. alloué à celle-ci est disproportionné par rapport au revenu de 14'207 fr. qui serait en réalité le sien, puisqu'après paiement de ses charges, son disponible serait de 4'698 fr. 25, alors que lui-même ne disposerait que d'un solde de 455 fr. 25.</w:t>
      </w:r>
    </w:p>
    <w:p>
      <w:r>
        <w:rPr>
          <w:b/>
        </w:rPr>
        <w:t>E. 3.1</w:t>
      </w:r>
    </w:p>
    <w:p>
      <w:r>
        <w:t>Il ne ressort pas de l'arrêt attaqué qu'en appel, le recourant aurait formulé de grief se rapportant à l'application de la méthode dite du minimum vital, alors même que le Tribunal de première instance s'était fondé sur celle-ci pour calculer la contribution d'entretien; au contraire, dans son mémoire à la Cour de justice, le recourant se réfère lui-même à cette méthode, sans formuler de critique à ce sujet. Dans cette mesure, il s'agit d'un moyen nouveau et, par conséquent, irrecevable ( art. 75 al. 1 LTF ; cf. ATF 135 III 424 consid. 3.2 p. 429). Pour le surplus, comme il a été exposé ci-dessus, l'autorité cantonale n'a pas fait preuve d'arbitraire en retenant que les ressources mensuelles du recourant s'élevaient en moyenne à 18'557 fr. 50. Dès lors que celui-ci procède à un nouveau calcul de la contribution d'entretien en s'écartant, de manière irrecevable, de cette constatation, il n'y a pas lieu d'entrer en matière sur ses allégations.</w:t>
      </w:r>
    </w:p>
    <w:p>
      <w:r>
        <w:rPr>
          <w:b/>
        </w:rPr>
        <w:t>E. 4</w:t>
      </w:r>
    </w:p>
    <w:p>
      <w:r>
        <w:t>En conclusion, le recours se révèle mal fondé et ne peut dès lors qu'être rejeté, dans la mesure où il est recevable. Le recourant, qui succombe, supportera par conséquent les frais de la présente procédure ( art. 66 al. 1 LTF ). Il n'y a pas lieu d'allouer de dépens à l'intimée, qui n'a pas été invitée à répondre sur le fond et qui a conclu au refus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