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5A_391/2019 vom 21. Mai 2019</w:t>
      </w:r>
    </w:p>
    <w:p>
      <w:r>
        <w:t>Bundesgericht, 2019-05-21, FR</w:t>
      </w:r>
    </w:p>
    <w:p>
      <w:r>
        <w:rPr>
          <w:b/>
        </w:rPr>
        <w:t xml:space="preserve">Quelle: </w:t>
      </w:r>
      <w:r>
        <w:t>https://mcp.opencaselaw.ch/entscheid/bger_5A_391_2019</w:t>
      </w:r>
    </w:p>
    <w:p>
      <w:r>
        <w:t>FR: TF 5A_391/2019 du 21 mai 2019</w:t>
      </w:r>
    </w:p>
    <w:p>
      <w:r>
        <w:t>IT: TF 5A_391/2019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3 mai 2019, le Juge unique de l'Autorité supérieure en matière de plainte LP du Tribunal cantonal du canton du Valais a déclaré irrecevable - faute de conclusions et de motivation suffisante - le recours interjeté le 14 mars 2019 par A.________ contre la décision rendue le 8 mars 2019 par la Juge du district de Monthey, statuant en qualité d'autorité inférieure en matière de plainte LP, rejetant la plainte déposée le 5 février 2019 par A._______ à l'encontre du procès-verbal de saisie dressé par l'Office des poursuites et faillites du district de Monthey le 22 janvier 2019.</w:t>
      </w:r>
    </w:p>
    <w:p>
      <w:r>
        <w:rPr>
          <w:b/>
        </w:rPr>
        <w:t>E. 2</w:t>
      </w:r>
    </w:p>
    <w:p>
      <w:r>
        <w:t>Par acte du 13 mai 2019, A.________ exerce un recours en matière civile au Tribunal fédéral.</w:t>
      </w:r>
    </w:p>
    <w:p>
      <w:r>
        <w:t>Dans son écriture, le recourant renvoie à son dossier concernant une plainte déposée contre l'Office des poursuites de Monthey et à un jugement du Tribunal de Lausanne, contenant des engagements qu'il doit respecter, Mme la Juge lui ayant par ailleurs clairement dit qu'il devait payer en priorité M. B.________; il précise encore que la décision de saisie a été prise bien après le jugement de Lausanne. Ce faisant, le recourant ne soulève - même implicitement - aucun grief à l'encontre de la décision déférée, singulièrement il ne discute pas la motivation de l'autorité précédente relative au défaut de conclusions et à l'insuffisance de la motivation. Il s'ensuit que le présent recours, qui ne correspond pas aux exigences minimales de motivation des art. 42 al. 2 et 106 al. 2 LTF, doit être d'emblée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