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5A_38/2025 vom 4. Februar 2025</w:t>
      </w:r>
    </w:p>
    <w:p>
      <w:r>
        <w:t>Bundesgericht, 2025-02-04, FR</w:t>
      </w:r>
    </w:p>
    <w:p>
      <w:r>
        <w:rPr>
          <w:b/>
        </w:rPr>
        <w:t xml:space="preserve">Quelle: </w:t>
      </w:r>
      <w:r>
        <w:t>https://mcp.opencaselaw.ch/entscheid/bger_5A_38_2025</w:t>
      </w:r>
    </w:p>
    <w:p>
      <w:r>
        <w:t>FR: TF 5A_38/2025 du 4 février 2025</w:t>
      </w:r>
    </w:p>
    <w:p>
      <w:r>
        <w:t>IT: TF 5A_38/2025 del 4 febbraio 2025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décembre 2024 au recourant; que ladite décision porte sur des mesures provisionnelles au sens de l' art. 98 LTF , de sorte que la suspension du délai de recours prévue à l' art. 46 al. 1 let . c LTF est inapplicable ( art. 46 al. 2 let. a LTF ); que le délai de recours a ainsi débuté le</w:t>
      </w:r>
    </w:p>
    <w:p>
      <w:r>
        <w:rPr>
          <w:b/>
        </w:rPr>
        <w:t>E. 28</w:t>
      </w:r>
    </w:p>
    <w:p>
      <w:r>
        <w:t>décembre 2024 - même si ce jour correspond à un samedi (parmi d'autres: arrêt 5A_989/2022 du 13 janvier 2023 consid. 5) - pour expirer le (dimanche) 26 janvier 2025, échéance reportée au (lundi) 27 janvier 2025 ( art. 45 al. 1 LTF ); que, expédié le 2 février 2025 (date du sceau postal), le présent recours est dès lors tardif et, partant, doit être déclaré irrecevable par voie de procédure simplifiée ( art. 108 al. 1 let. a LTF ); que les frais judiciaires, qui comprennent ceux de l'ordonnance rendue le 17 janvier 2025, incombent au recourant ( art. 66 al. 1 LTF ); que le présent arrêt rend sans objet la requête d'effet suspensif;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