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5A_38/2016 vom 21. April 2016</w:t>
      </w:r>
    </w:p>
    <w:p>
      <w:r>
        <w:t>Bundesgericht, 2016-04-21, DE</w:t>
      </w:r>
    </w:p>
    <w:p>
      <w:r>
        <w:rPr>
          <w:b/>
        </w:rPr>
        <w:t xml:space="preserve">Quelle: </w:t>
      </w:r>
      <w:r>
        <w:t>https://mcp.opencaselaw.ch/entscheid/bger_5A_38_2016</w:t>
      </w:r>
    </w:p>
    <w:p>
      <w:r>
        <w:t>FR: TF 5A_38/2016 du 21 avril 2016</w:t>
      </w:r>
    </w:p>
    <w:p>
      <w:r>
        <w:t>IT: TF 5A_38/2016 del 21 aprile 2016</w:t>
      </w:r>
    </w:p>
    <w:p>
      <w:pPr>
        <w:pStyle w:val="Heading2"/>
      </w:pPr>
      <w:r>
        <w:t>Erwägungen</w:t>
      </w:r>
    </w:p>
    <w:p>
      <w:r>
        <w:rPr>
          <w:b/>
        </w:rPr>
        <w:t>E. 1</w:t>
      </w:r>
    </w:p>
    <w:p>
      <w:r>
        <w:t>Der angefochtene Beschluss betrifft eine Erbteilungsklage mit einem obergerichtlich festgestellten Streitwert von Fr. 100'000.-- und unterliegt damit der Beschwerde in Zivilsachen ( Art. 72 ff. BGG ). Da das Obergericht auf die Beschwerde der Beklagten 1 förmlich nicht eingetreten ist und deren Beschwerdegründe nicht geprüft hat (E. 3 S. 3 f. des angefochtenen Beschlusses), kann die Beklagte 1 dem Bundesgericht einzig die Aufhebung des angefochtenen Beschlusses und die Rückweisung der Sache zur Beurteilung der im kantonalen Verfahren gestellten Begehren beantragen ( BGE 138 III 46 E. 1.2 S. 48). Sinngemäss kann das Begehren-Ziff. 4 als Aufhebungsantrag verstanden werden ( BGE 137 III 617 E. 6.2 S. 622). Alle anderen Begehren sind unzulässig und nicht zu prüfen.</w:t>
      </w:r>
    </w:p>
    <w:p>
      <w:r>
        <w:rPr>
          <w:b/>
        </w:rPr>
        <w:t>E. 2</w:t>
      </w:r>
    </w:p>
    <w:p>
      <w:r>
        <w:t>Das Gericht, bei dem die Klage einzureichen ist, hat die Gültigkeit der Klagebewilligung als Prozessvoraussetzung von Amtes wegen zu prüfen ( BGE 139 III 273 E. 2.1 S. 275 f.). Bejaht es Mängel des Schlichtungsverfahrens, die die Klagebewilligung ungültig machen, hat es auf die Klage nicht einzutreten. Im Gegensatz zu diesem Entscheid, auf die Klage nicht einzutreten, ist die Erteilung der Klagebewilligung ( Art. 209 Abs. 1 ZPO ) kein Entscheid, der mit Berufung oder Beschwerde bei der kantonalen Rechtsmittelinstanz angefochten werden kann ( BGE 139 III 273 E. 2.3 S. 277; 140 III 227 E. 3 S. 229 f. und 310 E. 1.3.2 S. 312; 141 III 159 E. 2.1 S. 164). Das Obergericht ist deshalb zu Recht auf die Beschwerde der Beklagten 1 nicht eingetreten und hat die zahlreichen angeblichen Mängel des Schlichtungsverfahrens nicht geprüft, die die erteilte Klagebewilligung ungültig machen sollen.</w:t>
      </w:r>
    </w:p>
    <w:p>
      <w:r>
        <w:t>Nichts ändert daran die Rüge der Beklagten 1, der Klägerin fehle es an einem schutzwürdigen Interesse an der Erbteilungsklage. Auch das Vorliegen eines schutzwürdigen Interesses wird das Gericht, bei dem die Klage einzureichen ist, als Prozessvoraussetzung ( Art. 59 Abs. 2 lit. a ZPO ) von Amtes wegen zu prüfen haben ( Art. 60 ZPO ). Soweit die Beklagte 1 geltend machen will, die Klagebewilligung leide an einem schweren Mangel, weil bereits das Friedensrichteramt das schutzwürdige Interesse hätte prüfen müssen und dessen Fehlen verkannt habe, kann auf soeben Gesagtes verwiesen werden. Unentschieden bleibt damit, inwiefern das Friedensrichteramt wie das Gericht, bei dem die Klage einzureichen ist, Prozessvoraussetzungen von Amtes wegen zu prüfen hat.</w:t>
      </w:r>
    </w:p>
    <w:p>
      <w:r>
        <w:t>Es verletzt insgesamt kein Bundesrecht, dass das Obergericht auf die gerügten Mängel, die die erteilte Klagebewilligung ungültig machen sollen, und damit auf die Beschwerde der Beklagten 1 gegen die Klagebewilligung nicht eingetreten ist.</w:t>
      </w:r>
    </w:p>
    <w:p>
      <w:r>
        <w:rPr>
          <w:b/>
        </w:rPr>
        <w:t>E. 3</w:t>
      </w:r>
    </w:p>
    <w:p>
      <w:r>
        <w:t>Aus den dargelegten Gründen ist die Beschwerde abzuweisen, soweit darauf einzutreten ist. Die Beklagte 1 wird damit kosten- und auch entschädigungspflichtig, zumal die Klägerin und die Beklagte 2 mit ihren Anträgen, das Gesuch um aufschiebende Wirkung abzuweisen, im Zwischenverfahren obsiegt haben ( Art. 66 Abs. 1 und Art. 68 Abs. 1 BGG ). Mit Bezug auf die Entschädigungspflicht ist allerdings zu beachten, dass nur die Klägerin anwaltlich vertreten ist, während die Beklagte 2 ihre Eingabe selbst verfasst hat und deshalb praxisgemäss keine Parteientschädigung zugesprochen erhält ( BGE 135 III 127 E. 4 S. 136;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