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389/2023 vom 6. November 2024</w:t>
      </w:r>
    </w:p>
    <w:p>
      <w:r>
        <w:t>Bundesgericht, 2024-11-06, FR</w:t>
      </w:r>
    </w:p>
    <w:p>
      <w:r>
        <w:rPr>
          <w:b/>
        </w:rPr>
        <w:t xml:space="preserve">Quelle: </w:t>
      </w:r>
      <w:r>
        <w:t>https://mcp.opencaselaw.ch/entscheid/bger_5A_389_2023</w:t>
      </w:r>
    </w:p>
    <w:p>
      <w:r>
        <w:t>FR: TF 5A 389/2023 du 6 novembre 2024</w:t>
      </w:r>
    </w:p>
    <w:p>
      <w:r>
        <w:t>IT: TF 5A 389/2023 del 6 novembre 2024</w:t>
      </w:r>
    </w:p>
    <w:p>
      <w:pPr>
        <w:pStyle w:val="Heading2"/>
      </w:pPr>
      <w:r>
        <w:t>Regeste</w:t>
      </w:r>
    </w:p>
    <w:p>
      <w:r>
        <w:t>divorce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La recourante, qui a pris part à la procédure devant l'autorité précédente, est particulièrement touchée et a un intérêt digne de protection à l'annulation ou la modification de l'arrêt querellé, a en outre qualité pour recourir ( art. 76 al. 1 let. a et b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présent litige porte sur le refus de l'autorité cantonale d'admettre que le mariage a eu un impact décisif sur la vie de la recourante.</w:t>
      </w:r>
    </w:p>
    <w:p>
      <w:r>
        <w:rPr>
          <w:b/>
        </w:rPr>
        <w:t>E. 3.1</w:t>
      </w:r>
    </w:p>
    <w:p>
      <w:r>
        <w:t>L'autorité cantonale a estimé que l'ex-épouse n'avait jamais formulé elle-même un allégué clair sur le caractère "lebensprägend" du mariage. Certes, elle avait admis dans sa réponse motivée du 25 juin 2020 certains allégués de son ex-époux, à savoir leur date de naissance respective (1958 et 1965), celle du mariage (1999) et de la séparation (septembre 2017), ainsi que la naissance d'un enfant commun pendant l'union conjugale, désormais majeur. Cela étant, au vu de l'évolution de la jurisprudence, ceux-ci ne suffisaient plus à présumer que le mariage avait eu un impact concret. Il aurait encore fallu alléguer quels étaient les circonstances concrètes du cas d'espèce qui s'opposeraient à l'application du principe du "clean break". S'il ressortait certes de la partie "en droit" de cette même réponse qu'au détour d'une subsomption au sujet de la liquidation du régime matrimonial, l'ex-épouse avait soutenu ne pas avoir de fortune après s'être "consacrée aux soins du ménage et à l'éducation de [l'enfant] pendant un mariage de plus de vingt ans", cette affirmation était sujette à caution; elle était présentée sans que les faits sur lesquels elle se basait aient été allégués précédemment, empêchant l'ex-époux de se positionner à leur égard et souffrait surtout d'un défaut de preuve. Par ailleurs, son caractère était trop général pour être pertinente. Elle a ajouté qu'il était en outre impossible de savoir, si l'intéressée travaillait avant le mariage, si elle avait dû quitter un emploi ou si elle avait repris une activité, cas échéant à quel moment au cours de l'union. En somme, on ignorait quel modèle de répartition des tâches avait été choisi, en d'autres termes si elle avait abandonné son indépendance économique à la suite du mariage pour s'occuper de l'enfant commun ou non. S'agissant des revenus de l'ex-épouse, l'autorité cantonale a relevé que celle-ci avait allégué se référer aux motifs de l'arrêt du 10 janvier 2018 rendu par la I e Cour d'appel civil dans le cadre de l'appel sur mesures protectrices de l'union conjugale, dont il ressortait que dès le 1er septembre 2017, soit après la séparation, elle était en mesure de réaliser un revenu mensuel net (hypothétique) de 2'650 fr. en travaillant au taux de 70% et que pour les périodes suivantes, son taux d'activité concret allégué oscillait entre 60 et 80%, avant qu'elle ne se retrouve en incapacité de travail en raison de problèmes de santé, depuis avril 2021. Quant à sa situation financière au moment du mariage ou le niveau de vie durant le mariage, ils n'avaient jamais été présentés par l'intéressée et celle-ci n'avait pas non plus explicitement allégué que le mariage avait eu un impact sur sa situation financière. Elle tentait manifestement de se rattraper en appel en renvoyant à l'arrêt du 10 janvier 2018. Or, cette façon de procéder ne respectait pas la maxime des débats. Ainsi, les faits ressortant dudit arrêt en lien avec la situation financière de l'intéressée avant le mariage ne pouvaient pas être pris en considération. L'autorité précédente a donc estimé que, sur la base des allégués admissibles des parties, l'intéressée n'avait pas démontré avoir renoncé à son indépendance économique ni en raison de son mariage, ni à la suite de la naissance de son enfant et réalisait un revenu, avant son incapacité de travail, correspondant à ses capacités professionnelles et à son expérience. L'autorité cantonale a ainsi estimé que le mariage ne présentait pas un caractère "lebensprägend". Dans ces circonstances, bien que dûment allégué, l'état de santé de l'ex-épouse n'avait pas à être pris en compte, sauf à retenir que son atteinte à la santé serait liée au mariage, ce qu'aucune des parties n'avait allégué. Le tribunal civil n'avait par ailleurs pas à examiner si l'intéressée était en mesure, avec son propre revenu, de couvrir ses charges, cette question ne devant en règle générale être examinée que si le mariage avait un caractère "lebensprägend". Enfin, par souci d'exhaustivité, elle a expliqué que, s'agissant d'une éventuelle pension fondée sur la base d'un "dommage lié au mariage", l'intéressée aurait échoué à démontrer que sa situation financière actuelle était le cas échéant moins bonne que celle dont elle bénéficiait avant son mariage, dès lors que les revenus et les charges des parties avant le mariage n'avaient pas été allégués. Cela étant, l'autorité cantonale a confirmé le raisonnement de l'autorité de première instance qui avait astreint l'ex-époux, conformément à ses conclusions ( art. 58 al. 1 CPC ), à contribuer néanmoins à l'entretien de l'intéressée par le versement d'une pension mensuelle de 1'000 fr. jusqu'au 30 avril 2023, puis de 800 fr. dès le 1er mai 2023 et ce jusqu'à l'âge légal de la retraite AVS de celle-ci.</w:t>
      </w:r>
    </w:p>
    <w:p>
      <w:r>
        <w:rPr>
          <w:b/>
        </w:rPr>
        <w:t>E. 3.2.1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148 III 161 consid. 4.1; 147 III 249 consid. 3.4.2 et les références). La détermination de la contribution d'entretien est laissée, pour une part importante, à l'appréciation du juge du fait, qui applique les règles du droit et de l'équité ( art. 4 CC ; ATF 148 III 161 précité loc. cit.; 134 III 577 consid. 4).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 art. 125 al. 2 ch. 3 CC ; ATF 147 III 249 précité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précité loc. cit.; 147 III 249 précité consid. 3.4.1 et les références).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 ATF 148 III 161 précité consid. 4.2; 147 III 249 précité consid. 3.4.3).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148 III 161 précité loc. cit.; 147 III 249 précité consid. 3.4.3, 308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 art. 276 et 285 CC ); seuls sont pertinents les inconvénients résultant de la garde de l'enfant qui ne sont pas couverts par l'entretien de celui-ci destiné économiquement au parent qui en assume la garde ( ATF 148 III 161 précité loc. cit.).</w:t>
      </w:r>
    </w:p>
    <w:p>
      <w:r>
        <w:rPr>
          <w:b/>
        </w:rPr>
        <w:t>E. 3.2.2</w:t>
      </w:r>
    </w:p>
    <w:p>
      <w:r>
        <w:t>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5A_1036/2021 du 23 septembre 2022 consid. 3.2.3; 5A_215/2018 du 1er novembre 2018 consid. 3.3.2; 5A_1008/2017 du 7 mars 2018 consid. 4.2.2). Par ailleurs, dans le cas où le mariage n'a pas eu un impact décisif sur la vie de l'époux atteint dans sa santé, la solidarité après divorce ne peut s'appliquer que si l'atteinte a été causée par le mariage (arrêts 5A_1036/2021 précité loc. cit.; 5A_782/2010 du 2 février 2012 consid. 4.1).</w:t>
      </w:r>
    </w:p>
    <w:p>
      <w:r>
        <w:rPr>
          <w:b/>
        </w:rPr>
        <w:t>E. 3.2.3</w:t>
      </w:r>
    </w:p>
    <w:p>
      <w:r>
        <w:t>Au moment de la dissolution d'un mariage qui n'a pas exercé une influence concrète sur les conditions de vie, on se réfère en principe aux conditions existant avant le mariage, c'est-à-dire que les époux sont traités comme s'ils n'avaient jamais conclu de mariage ( ATF 148 III 161 précité consid. 4.1; 147 III 249 précité consid. 3.4.1; 141 III 465 précité consid. 3.1). Ainsi, le conjoint qui n'a pas exercé d'activité lucrative pendant la vie conjugale doit simplement être replacé dans la situation qui serait la sienne sans le mariage; en d'autres termes, il faut examiner quelle situation économique aurait cet époux au moment du divorce s'il ne s'était pas marié. Le conjoint concerné a en quelque sorte droit à la réparation d'un préjudice qui aurait été causé par le mariage ("Eheschaden") ( ATF 148 III 161 précité consid. 5.1; 147 III 249 précité consid. 3.4.1 et 3.4.6).</w:t>
      </w:r>
    </w:p>
    <w:p>
      <w:r>
        <w:rPr>
          <w:b/>
        </w:rPr>
        <w:t>E. 4</w:t>
      </w:r>
    </w:p>
    <w:p>
      <w:r>
        <w:t>Le recourante prétend en premier lieu que l'état de fait cantonal aurait été établi en violation de l' art. 151 CPC .</w:t>
      </w:r>
    </w:p>
    <w:p>
      <w:r>
        <w:rPr>
          <w:b/>
        </w:rPr>
        <w:t>E. 4.1</w:t>
      </w:r>
    </w:p>
    <w:p>
      <w:r>
        <w:t>Les faits notoires ou notoirement connus du tribunal et les règles d'expérience généralement reconnues ne doivent pas être prouvés ( art. 151 CPC ). Les faits immédiatement connus du Tribunal ("gerichtsnotorische Tatsachen") sont ceux résultant d'une autre procédure concernant les mêmes parties et en principe portées devant le même tribunal ( ATF 143 II 224 consid. 5.1; arrêts 5A_61/2023 du 7 février 2024 consid. 3 et 4; 5A_252/2021 du 8 novembre 2021 consid. 2.3; 5A_857/2020 du 31 mai 2021 consid. 2.4).</w:t>
      </w:r>
    </w:p>
    <w:p>
      <w:r>
        <w:rPr>
          <w:b/>
        </w:rPr>
        <w:t>E. 4.2</w:t>
      </w:r>
    </w:p>
    <w:p>
      <w:r>
        <w:t>D'après la recourante, certains faits auraient été omis par l'autorité précédente, alors qu'ils ressortaient de l'arrêt sur mesures protectrices de l'union conjugale du 10 janvier 2018 (cf. consid. 4.1.3) rendu par la même autorité. En tant que faits notoirement connus du tribunal ( art. 151 CPC ), ils n'avaient pas besoin d'être prouvés dans la procédure de divorce. Il en irait ainsi notamment du fait qu'elle n'avait aucune profession ni diplôme au moment du mariage, qu'elle se serait principalement consacrée aux soins du ménage et de l'enfant commun, qu'elle aurait recommencé à exercer une activité lucrative en 2008 au taux de 40 à 50% avant de faire, en 2011, un certificat d'auxiliaire de santé, qu'elle ne pouvait pas augmenter son taux d'activité, comme auxiliaire de soins, au delà de 80% (sans autre précision) et qu'elle présentait des lacunes de prévoyance.</w:t>
      </w:r>
    </w:p>
    <w:p>
      <w:r>
        <w:rPr>
          <w:b/>
        </w:rPr>
        <w:t>E. 4.3</w:t>
      </w:r>
    </w:p>
    <w:p>
      <w:r>
        <w:t>La critique de la recourante est infondée. Elle perd de vue que les mesures protectrices de l'union conjugale sont ordonnées à la suite d'une procédure sommaire ( art. 271 let. a CPC ), dans le cadre de laquelle le juge se prononce sur la base de la simple vraisemblance après une administration limitée des preuves ( ATF 127 III 474 consid. 2b/bb), en se fondant sur les moyens de preuve immédiatement disponibles ( ATF 131 III 473 consid. 2.3 in limine ; arrêt 5A_768/2022 du 21 juin 2023 consid. 4). Partant, ces faits rendus seulement plausibles et portant de surcroît sur un autre objet ne sauraient être intégrés à l'état de fait cantonal à titre de faits notoirement connus du tribunal quand bien même les mêmes parties et la même autorité étaient concernées. De surcroît, il n'appartenait pas au juge des mesures protectrices de l'union conjugale ou des mesures provisionnelles de trancher, même sous l'angle de la vraisemblance, les questions de fond, objet du procès en divorce, en particulier celle de savoir si le mariage avait eu concrètement un impact sur la situation financière du conjoint ( ATF 147 III 293 consid. 4.4; arrêt 5A_72/2023 du 8 novembre 2023 consid. 3.3). Le caractère "lebensprägend" du mariage n'était en effet à ce stade pas déterminant ( ATF 148 III 358 consid. 5; arrêt 5A_850/2020 du 4 juillet 2022 consid. 3). Ainsi, la présence dans l'arrêt précité de certains éléments factuels ne permet pas de pallier le défaut d'allégation reproché par l'autorité cantonale. Ce qui précède scelle le sort des critiques émises par la recourante (cf. supra consid. 4.2).</w:t>
      </w:r>
    </w:p>
    <w:p>
      <w:r>
        <w:rPr>
          <w:b/>
        </w:rPr>
        <w:t>E. 5</w:t>
      </w:r>
    </w:p>
    <w:p>
      <w:r>
        <w:t>Le recourante soutient également que l'état de fait, tel qu'établi par l'autorité précédente, violerait l' art. 150 al. 1 CPC , en tant que l'impact économique de son mariage aurait été admis par l'intimé.</w:t>
      </w:r>
    </w:p>
    <w:p>
      <w:r>
        <w:rPr>
          <w:b/>
        </w:rPr>
        <w:t>E. 5.1</w:t>
      </w:r>
    </w:p>
    <w:p>
      <w:r>
        <w:t>Elle se réfère à ce titre d'une part à la partie "en droit" du mémoire de l'intimé du 5 mars 2020 : "S'agissant d'une éventuelle contribution d'entretien en faveur de [la recourante], il y a lieu de relever qu'elle peut compter sur le maintien de vie pendant le mariage", et d'autre part à la réplique de l'intimé du 27 août 2020, dans laquelle celui-ci offrait de contribuer à son entretien par le versement d'une pension jusqu'à l'âge légal de la retraite. Elle allègue que la preuve ayant pour objet uniquement les faits pertinents et contestés ( art. 150 al. 1 CPC ), l'impact économique de son mariage n'avait pas besoin d'être allégué ni prouvé. Il importait ainsi peu que l'allégation concernant le fait qu'elle se serait "consacrée aux soins du ménage et à l'éducation de [l'enfant] pendant un mariage de plus de vingt ans" figure uniquement dans la partie "en droit" de sa réponse motivée du 25 juin 2020.</w:t>
      </w:r>
    </w:p>
    <w:p>
      <w:r>
        <w:rPr>
          <w:b/>
        </w:rPr>
        <w:t>E. 5.2</w:t>
      </w:r>
    </w:p>
    <w:p>
      <w:r>
        <w:t>L'argument tombe à faux. L'aveu étant un moyen de preuve, il ne peut porter que sur un fait (arrêt 4A_496/2013 du 19 février 2014 consid. 2.1.5). Or, la détermination de la portée juridique des circonstances de fait quant au caractère "lebensprägend" d'un mariage relève du droit. Le grief doit donc être rejeté.</w:t>
      </w:r>
    </w:p>
    <w:p>
      <w:r>
        <w:rPr>
          <w:b/>
        </w:rPr>
        <w:t>E. 6</w:t>
      </w:r>
    </w:p>
    <w:p>
      <w:r>
        <w:t>La recourante invoque la violation de l' art. 125 CC .</w:t>
      </w:r>
    </w:p>
    <w:p>
      <w:r>
        <w:rPr>
          <w:b/>
        </w:rPr>
        <w:t>E. 6.1</w:t>
      </w:r>
    </w:p>
    <w:p>
      <w:r>
        <w:t>Elle fait grief à l'autorité précédente d'avoir considéré que sa capacité de gain (actuelle) ( art. 125 al. 2 ch. 5 CC ) ne devait être déterminée "que si sur le principe une contribution d'entretien était due". Une telle conception contredirait l' art. 125 al. 2 CC et la jurisprudence la plus récente selon laquelle seule une appréciation globale de toutes les circonstances économiquement pertinentes permettrait de déterminer si une contribution d'entretien est due. Elle lui fait également grief de ne pas avoir tenu compte dans son raisonnement de l'importante capacité contributive de l'intimé et de ses lacunes de prévoyance ( art. 125 al. 2 ch. 8 CC ). Elle prétend en outre que l'âge et l'état de santé des époux au moment du divorce seraient des éléments décisifs. Selon elle, un mariage pourrait avoir une influence économique déterminante sur ses conditions d'existence, sans qu'elle n'ait abandonné son indépendance économique antérieure, ce critère n'étant là encore qu'un parmi d'autres. Partant, en refusant d'appliquer le principe de solidarité alors que sa santé ne lui permettait pas d'être indépendante économiquement, l'autorité cantonale aurait violé le droit fédéral.</w:t>
      </w:r>
    </w:p>
    <w:p>
      <w:r>
        <w:rPr>
          <w:b/>
        </w:rPr>
        <w:t>E. 6.2</w:t>
      </w:r>
    </w:p>
    <w:p>
      <w:r>
        <w:t>En l'espèce, force est de relever que la recourante ne fait qu'opposer de manière purement appellatoire sa propre appréciation à celle de l'autorité cantonale, sans démontrer un abus de son pouvoir d'appréciation ( art. 4 CC ; cf. supra consid. 2.1). Il résulte en effet de l'arrêt entrepris que l'impact décisif du mariage sur la situation de la recourante a été nié par l'autorité précédente au motif notamment qu'elle n'avait pas démontré avoir renoncé à son indépendance économique ni en raison de son mariage, ni à la suite de la naissance de son enfant et réalisait un revenu, avant son incapacité de travail, correspondant à ses capacités professionnelles et à son expérience. Or, la recourante ne s'en prend nullement à ce qui précède. Elle se contente d'affirmer que certains critères, comme la capacité de gain actuelle des parties, auraient dû être pris en compte sans expliquer en quoi cet élément précis serait pertinent à ce stade du raisonnement. Ce procédé est donc irrecevable (cf. supra consid. 2.1; art. 42 al. 2 LTF ). Il en va de même de son argumentation relative à ses prétendues lacunes de prévoyance, outre le fait qu'elles ne sont pas établies (cf. supra consid. 4.3), l'intéressée n'explique nullement plus avant pourquoi elles justifieraient un droit à l'entretien post-divorce. Ses considérations relatives à son atteinte à la santé sont également irrecevables (cf. supra consid. 2.1; art. 42 al. 2 LTF ), en tant qu'elle soutient péremptoirement que celle-ci aurait justifié une pension post-divorce. Elle laisse en effet intact les motifs de l'arrêt entrepris dont il ressort qu'en tant qu'elle n'avait pas démontré que le mariage avait eu un impact concret sur ses conditions d'existence, la solidarité après divorce ne pouvait s'appliquer que si l'atteinte à la santé avait été causée par le mariage lui-même (cf. supra consid. 3.1), ce que la recourante n'alléguait point. Quant à son âge, contrairement à ce qu'elle soutient, ce critère a dûment été pris en compte, mais a été jugé insuffisant au vu du peu de faits établis (cf. supra consid. 3.1). Le rejet de ces griefs scelle le sort des critiques émises par la recourante contre le refus de l'autorité précédente de suspendre la procédure cantonale jusqu'à droit connu sur la demande de prestations de l'assurance-invalidité déposée le 31 août 2021, et subsidiairement de mettre en oeuvre une expertise, qui tendaient notamment à établir la diminution de capacité de gain de l'intéressée. Au vu de ce qui précède, il n'apparaît pas que l'on puisse reprocher à l'autorité précédente d'avoir violé l' art. 125 CC en niant le droit à l'entretien après divorce de la recourante, sous réserve de la pension offerte par l'intimé en première instance (cf. supra consid. 3.1), que ce soit en vertu d'un mariage ayant eu un impact décisif sur sa vie ou, subsidiairement, de son éventuel droit à la réparation d'un préjudice qui aurait été causé par le mariage (cf. supra consid. 3.2.3), l'intéressée ne contestant pas, pour cette dernière hypothèse, avoir omis d'alléguer et a fortiori d'établir sa situation antérieure au mariage.</w:t>
      </w:r>
    </w:p>
    <w:p>
      <w:r>
        <w:rPr>
          <w:b/>
        </w:rPr>
        <w:t>E. 7</w:t>
      </w:r>
    </w:p>
    <w:p>
      <w:r>
        <w:t>En définitive, pour autant que recevable, le recours doit être rejeté, ce qui rend sans objet la requête d'effet suspensif. La requête d'assistance judiciaire de la recourante doit être écartée en tant que ses conclusions étaient d'emblée dépourvues de chance de succès ( art. 64 al. 1 LTF ) et les frais judiciaires sont mis à sa charge ( art. 66 al. 1 LTF ). Aucune indemnité de dépens n'est due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