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387/2024 vom 9. September 2024</w:t>
      </w:r>
    </w:p>
    <w:p>
      <w:r>
        <w:t>Bundesgericht, 2024-09-09, FR</w:t>
      </w:r>
    </w:p>
    <w:p>
      <w:r>
        <w:rPr>
          <w:b/>
        </w:rPr>
        <w:t xml:space="preserve">Quelle: </w:t>
      </w:r>
      <w:r>
        <w:t>https://mcp.opencaselaw.ch/entscheid/bger_5A_387_2024</w:t>
      </w:r>
    </w:p>
    <w:p>
      <w:r>
        <w:t>FR: TF 5A 387/2024 du 9 septembre 2024</w:t>
      </w:r>
    </w:p>
    <w:p>
      <w:r>
        <w:t>IT: TF 5A 387/2024 del 9 settembre 2024</w:t>
      </w:r>
    </w:p>
    <w:p>
      <w:pPr>
        <w:pStyle w:val="Heading2"/>
      </w:pPr>
      <w:r>
        <w:t>Regeste</w:t>
      </w:r>
    </w:p>
    <w:p>
      <w:r>
        <w:t>déni de justice (contribution d'entretien, provisio ad litem, etc.) | Droit de la famille</w:t>
      </w:r>
    </w:p>
    <w:p>
      <w:pPr>
        <w:pStyle w:val="Heading2"/>
      </w:pPr>
      <w:r>
        <w:t>Erwägungen</w:t>
      </w:r>
    </w:p>
    <w:p>
      <w:r>
        <w:rPr>
          <w:b/>
        </w:rPr>
        <w:t>E. 1</w:t>
      </w:r>
    </w:p>
    <w:p>
      <w:r>
        <w:t>La décision litigieuse, qui nie tout retard et refus de la juge de première instance de statuer sur mesures provisionnelles, dans le contexte d'une procédure de droit de la famille, portant notamment sur la contribution d'entretien et la provisio ad litem dues à une enfant mineure, est de nature civile ( art. 72 al. 1 LTF ) et pécuniaire, dont la valeur litigieuse atteint manifestement 30'000 fr. (art. 51 al. 1 let. a et al. 4, 74 al. 1 let. b LTF). Interjeté en temps utile ( art. 100 al. 1 LTF ) et dans les formes requises ( art. 42 al. 1 LTF ) par une partie qui a succombé devant l'autorité précédente et a un intérêt à la modification ou à l'annulation de l'arrêt entrepris ( art. 76 al. 1 LTF ), contre une décision rendue sur recours en dernière instance cantonale par un tribunal supérieur ( art. 75 al. 1 LTF ), le présent recours en matière civile est recevable au regard de ces dispositions, de sorte que le recours constitutionnel subsidiaire est irrecevable ( art. 113 LTF ). La recevabilité du recours en matière civile suppose en outre que celui-ci soit dirigé contre une décision finale ( art. 90 LTF ), ou contre une décision préjudicielle ou incidente notifiée séparément si elle est susceptible de causer un préjudice irréparable ou si l'admission du recours peut conduire immédiatement à une décision finale qui permet d'éviter une procédure probatoire longue et coûteuse ( art. 93 al. 1 let. a et b LTF ). Cette exigence doit être tenue pour satisfaite lorsque, comme en l'espèce, cette partie impute un retard injustifié ( art. 319 let . c CPC) au tribunal de première instance et fait grief à la juridiction de recours d'avoir refusé l'intervention demandée pour mettre fin à ce retard ( ATF 138 III 190 consid. 6; arrêt 4A_602/2016 du 20 mars 2017 consid. 4). En effet, l'écoulement du temps ne ferait que faire perdurer la situation dommageable alléguée, à savoir la violation du droit à ce qu'une chose soit jugée dans un délai raisonnable ( art. 29 al. 1 Cst. ; arrêt 5A_208/2014 du 30 juillet 2014 consid. 1).</w:t>
      </w:r>
    </w:p>
    <w:p>
      <w:r>
        <w:rPr>
          <w:b/>
        </w:rPr>
        <w:t>E. 2</w:t>
      </w:r>
    </w:p>
    <w:p>
      <w:r>
        <w:t>La décision attaquée s'inscrivant dans le contexte du prononcé de mesures provisionnelles au sens de l' art. 98 LTF , seule peut être dénoncée la violation des droits constitutionnels. Le Tribunal fédéral n'examine de tels griefs que s'ils ont été invoqués et motivés conformément au principe d'allégation ( art. 106 al. 2 LTF ), à savoir s'ils ont été expressément soulevés et exposés de manière claire et détaillée ( ATF 144 II 313 consid. 5.1; 142 III 364 consid. 2.4).</w:t>
      </w:r>
    </w:p>
    <w:p>
      <w:r>
        <w:rPr>
          <w:b/>
        </w:rPr>
        <w:t>E. 3.1</w:t>
      </w:r>
    </w:p>
    <w:p>
      <w:r>
        <w:t>Rappelant que la recourante avait déposé pas moins de quatre requêtes de récusation à l'encontre de la juge intimée, dont la première le 13 janvier 2023 déjà, l'autorité cantonale a estimé, dans une considération d'ordre général, en se fondant sur l'arrêt du Tribunal fédéral 5A_350/2023 du 18 juillet 2023, que toute demande de récusation contenait implicitement la requête que le magistrat visé n'accomplisse plus d'autres actes de procédure ou que d'éventuels futurs actes de procédure soient renouvelés en cas d'admission de la demande de récusation. Ainsi, la recourante reprochait à la juge intimée de ne pas faire certains actes de procédure ou de ne pas rendre certaines décisions, alors qu'elle avait expressément indiqué, dans son courrier du 23 janvier 2023, qu'elle demanderait " en tant que besoin " l'annulation de tous " ses actes futurs inconnus ". Selon la cour cantonale, il était ainsi difficile de ne pas voir dans le recours pour déni de justice ou retard injustifié un procédé, si ce n'est abusif, à tout le moins contraire à la bonne foi. Dans la suite détaillée de sa motivation, l'autorité cantonale a constaté qu'à la date du dépôt du recours, soit le 9 juin 2023, quelque neuf mois s'étaient écoulés sans que les questions de la provisio ad litem et de la contribution d'entretien requise à titre provisionnel n'aient été tranchées. A première vue, ce laps de temps était trop long et peu compatible avec la procédure sommaire applicable aux mesures provisionnelles (art. 248 lit. d CPC). Néanmoins, force était de constater que, de manière générale, la juge intimée avait déployé une activité très soutenue et qu'aucun temps mort n'était à relever. La magistrate avait donné rapidement suite aux diverses écritures des parties et s'était déterminée sur les observations et objections de la recourante (nécessité d'une autorisation de procéder, mise en doute de la pertinence d'une séance d'information pour le consensus parental, contestation de la délégation à l'APEA de la compétence pour exécuter la curatelle notamment, contestation de l'absence de motivation de la décision rendue à titre superprovisionnel, propos tenus à C.________ en audience, remise en cause des compétences des intervenants OPE, questionnement sur leur formation, critique de la non-application des règles du CPC sur l'expertise à l'enquête sociale, demande de répétition des actes effectués par les intervenants OPE, contestation de la compétence de l'OPE pour arrêter les modalités des appels téléphoniques, etc.). Elle avait en outre tenu une audience de plus de sept heures, rendu des décisions intermédiaires ou superprovisionnelles concernant des aspects importants et sensibles de la cause comme celui du droit de visite (cf. notamment décisions des 28 septembre 2022, 9 décembre 2022, 20 décembre 2022, 4 avril 2023, 21 avril 2023 et 25 avril 2023) et mis en oeuvre des mesures de protection de l'enfant urgentes, telles qu'une curatelle de surveillance des relations personnelles ou une enquête sociale. L'autorité cantonale a estimé que, dans l'ensemble, la magistrate avait donc fait preuve de diligence. L'autorité cantonale a constaté que la recourante avait, quant à elle, largement participé à l'allongement de la procédure dont elle se plaignait. Celle-ci avait contesté de manière quasi systématique les actes de toutes les autorités ou services administratifs intervenus, soit ceux de la juge intimée, de l'APEA et de l'OPE. Elle avait de plus adressé à la juge intimée de très nombreuses écritures, parfois plusieurs le même jour, comme par exemple les 9 mars 2023, 22 mars 2023, 17 avril 2023 ou 24 avril 2023, et s'était quelquefois déterminée sur les mêmes sujets à plusieurs reprises, comme ceux de l'absence de motivation des décisions superprovisionnelles, de non-application des règles de l'expertise à l'enquête sociale ou de l'absence de compétences suffisantes des intervenants OPE. Elle avait au demeurant contraint la magistrate à justifier la plus grande partie de ses actes de procédure, même ceux qui ne prêtaient pas à discussion, comme la délégation à l'APEA pour la mise en oeuvre des mesures de protection de l'enfant ou la précision selon laquelle l'OPE pouvait, dans le cadre de son mandat de curateur de surveillance des relations personnelles, définir les modalités des appels téléphoniques entre l'enfant et son père. Elle avait finalement requis à quatre reprises la récusation de la juge intimée et déposé plusieurs recours et appels. Que cette manière d'agir ait été pertinente et/ou justifiée, il n'en demeurait pas moins qu'elle avait entraîné une charge de travail importante pour la magistrate, retardant ainsi immanquablement l'avancée de la procédure. S'agissant plus particulièrement des aspects financiers de la cause, l'autorité cantonale a constaté que la recourante soutenait que les questions pécuniaires ne pouvaient être traitées sans l'assistance d'un curateur de représentation et elle avait par ailleurs formé un recours portant sur la question de l'étendue des compétences de la curatrice. Elle avait toutefois demandé la suspension de cette procédure de recours jusqu'à droit connu sur sa demande de révision. Or, la juge intimée avait indiqué qu'elle ne traiterait pas de celle-ci jusqu'à droit connu sur les demandes de récusation formées par la recourante. Au moment du dépôt du recours, ces dernières avaient tout juste été rejetées et venaient de faire l'objet d'un recours au tribunal cantonal. L'autorité cantonale en a déduit que, au mois de juin 2023, la juge intimée était tout bonnement dans l'impossibilité, due en partie à la recourante - sans à nouveau juger du bien-fondé de ses actes procéduraux -, de statuer sur les questions financières. L'autorité cantonale a conclu que, après une appréciation globale des circonstances d'espèce, aucun retard injustifié à statuer ne pouvait être reproché à la juge de district. Par ailleurs, la recourante se plaignant encore de retard injustifié parce que la juge de district n'avait pas instruit sa demande de révision, déposée le 13 mars 2023, de la décision de nomination de la curatrice et la requête de suspension y figurant, l'autorité cantonale a relevé que, à la date du recours dont elle était saisie, à peine trois mois s'étaient écoulés depuis le dépôt de cette demande. Il était ainsi douteux qu'un tel laps de temps soit contraire aux exigences de célérité et qu'il n'était pas exclu que la juge de district n'entendait tout simplement pas effectuer d'actes d'instruction avant de rendre son prononcé.</w:t>
      </w:r>
    </w:p>
    <w:p>
      <w:r>
        <w:rPr>
          <w:b/>
        </w:rPr>
        <w:t>E. 3.2</w:t>
      </w:r>
    </w:p>
    <w:p>
      <w:r>
        <w:t>La recourante se plaint de la violation des art 8, 9 (dans l'application du droit et l'établissement des faits), et 29 Cst.</w:t>
      </w:r>
    </w:p>
    <w:p>
      <w:r>
        <w:rPr>
          <w:b/>
        </w:rPr>
        <w:t>E. 3.2.1</w:t>
      </w:r>
    </w:p>
    <w:p>
      <w:r>
        <w:t>La recourante soutient tout d'abord que l'autorité cantonale aurait mal compris l'arrêt 5A_350/2023 du 18 juillet 2023. Elle expose en substance que cet arrêt ne dit pas que les requêtes de récusation d'un juge et d'annulation des actes signifient implicitement que le requérant demande aussi que le juge cesse d'exercer ses fonctions dans la cause, ni que de telles requêtes entraînent la suspension de la procédure. Elle précise qu'elle ne s'est du reste pas opposée à ce que la procédure se poursuive. Elle prétend que l'autorité cantonale a ignoré la lettre du 18 janvier 2023 de la juge de district, selon laquelle elle continuerait à instruire la cause jusqu'à droit connu sur la requête de récusation, de même que la décision du 25 janvier 2023 du Président du Tribunal cantonal valaisan, selon laquelle il rejetait la requête de la recourante tendant à la désignation d'un autre juge, en se fondant sur l'arrêt 5D_64/2015 du 28 mai 2015. Ensuite, la recourante affirme que l'autorité cantonale a méconnu qu'on était en présence d'une actio duplex et que la juge de district n'a fait preuve de diligence que pour traiter les conclusions de l'intimé, à l'exclusion de ses propres conclusions en paiement. Elle reproche à l'autorité cantonale d'avoir ignoré la lettre du 19 octobre 2022 par laquelle la juge de district admettait que les preuves nécessaires pour statuer sur ces conclusions figuraient au dossier, de sorte que cette magistrate aurait été en mesure de rendre sa décision à tout le moins le 20 décembre 2022, précisant que la surcharge de travail mentionnée est postérieure à cette date. La recourante explique sa production d'écritures en avançant qu'elle devait mettre en oeuvre sans délai ses moyens de défense et anticiper des mesures qui pouvaient en tout temps l'atteindre au vu de la pratique des autorités de protection de l'enfant de recourir très largement à la décision superprovisionnelle où la partie adverse ne bénéficie ni du droit d'être entendu ni du droit de recourir. En outre, la juge de district a tout au plus fait face à des problèmes d'organisation, dû au fait qu'elle ne travaille qu'à 60%, ou à une surcharge qui ne justifie pas le retard pris. Enfin, la recourante critique l'appréciation de l'autorité cantonale selon laquelle, au mois de juin 2023, il était impossible pour la juge de district de statuer sur les questions financières. Elle y oppose que son recours sur l'assistance d'un curateur de représentation pour traiter de ces questions auprès du Tribunal cantonal valaisan le 19 janvier 2023 n'avait pas d'effet suspensif de par la loi et que cette autorité ne prétend pas avoir d'office ordonné des mesures provisionnelles disant que la question de la contribution d'entretien faisait partie jusqu'à droit connu du mandat de la curatrice de représentation. Elle soutient que l'autorité cantonale a complètement perdu de vue que le curateur selon l' art. 299 CPC ne dispose d'aucune compétence pour ouvrir une action en paiement d'une contribution d'entretien ou former des conclusions provisionnelles à ce sujet et que même une désignation d'un tel curateur n'empêche nullement la représentante de la mineure selon la loi, soit elle-même en l'occurrence, d'agir en justice d'une façon indépendante. La recourante précise qu'elle renonce à remettre en cause certains considérants de l'arrêt attaqué, notamment celui portant sur le retard injustifié à instruire sa demande de révision.</w:t>
      </w:r>
    </w:p>
    <w:p>
      <w:r>
        <w:rPr>
          <w:b/>
        </w:rPr>
        <w:t>E. 3.2.2.1</w:t>
      </w:r>
    </w:p>
    <w:p>
      <w:r>
        <w:t>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 Le caractère raisonnable du délai s'apprécie selon les circonstances particulières de la cause, eu égard notamment à la complexité de l'affaire, à l'enjeu du litige pour l'intéressé, à son comportement, dont la question de savoir si et dans quelle mesure il a contribué à retarder la procédure, ainsi qu'à celui des autorités compétentes. Une durée excessive de la procédure est admise si ces circonstances qui ont conduit à la prolongation de la procédure ne peuvent pas être objectivement justifiées ( ATF 144 II 486 consid. 3.2;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Un certain pouvoir d'appréciation quant aux priorités et aux mesures à prendre pour faire avancer la procédure doit aussi être reconnu à l'autorité (arrêt 7B_372/2024 du 12 juin 2024 consid. 2.2.1 et les autres références).</w:t>
      </w:r>
    </w:p>
    <w:p>
      <w:r>
        <w:rPr>
          <w:b/>
        </w:rPr>
        <w:t>E. 3.2.2.2</w:t>
      </w:r>
    </w:p>
    <w:p>
      <w:r>
        <w:t>La récusation d'un magistrat ( art. 49 CPC ) ne produit en principe d'effets que pour l'avenir (arrêt 4A_299/2023 du 1er septembre 2023 consid. 2.2, non publié aux ATF 150 I 68 ). Dès lors, pour annuler des actes de procédure déjà effectués, il ne suffit pas de déposer une demande de récusation. Il faut au contraire demander en plus et dans le délai légal la répétition des actes en question (cf. art. 51 al. CPC). La demande de récusation contient toutefois implicitement la requête que la personne concernée n'accomplisse plus d'autres actes de procédure ou que d'éventuels futurs actes de procédure soient renouvelés en cas d'admission de la demande de récusation (arrêt 5A_350/2023 du 18 juillet 2023 consid. 4.2.3). Il n'en demeure pas moins que, pour sa part, le magistrat mis en cause n'est pas empêché de continuer à exercer ses fonctions dans la procédure en cours tant que l'autorité compétente pour statuer sur la demande n'a pas rendu sa décision, dès lors que même si la récusation devait finalement être prononcée, l'auteur de la demande de récusation est suffisamment protégé par la possibilité qui lui est donnée de requérir l'annulation des actes auxquels le magistrat récusé a procédé ou a participé (arrêt 5D_64/2015 du 28 mai 2015 consid. 2).</w:t>
      </w:r>
    </w:p>
    <w:p>
      <w:r>
        <w:rPr>
          <w:b/>
        </w:rPr>
        <w:t>E. 3.2.3</w:t>
      </w:r>
    </w:p>
    <w:p>
      <w:r>
        <w:t>En l'espèce, l'autorité cantonale a exercé correctement son pouvoir d'appréciation, en se fondant sur des facteurs pertinents et en n'omettant aucun élément essentiel (sur le pouvoir d'appréciation, cf. entre autres arrêt 5A_97/2024 du 6 juin 2024 consid. 3.1 et les références). La recourante n'avance aucun motif qui imposerait que cette décision soit revue, de surcroît compte tenu de la retenue avec laquelle le Tribunal fédéral intervient dans de telles décisions. En effet, c'est à raison que l'autorité cantonale a relevé que, vu les nombreuses requêtes de récusation que la recourante avait déposées, celle-ci adoptait un comportement contradictoire en requérant que la magistrate visée statue à titre provisionnel sur les questions qu'elle soulevait. Par ses requêtes de récusation et d'annulation des actes précédents, elle a exprimé que, à son sens, la juge intimée ne rendait pas de décision valable et qu'il faudrait de toute façon statuer à nouveau sur les points tranchés. Par ailleurs, la recourante a non seulement recouru contre la décision de la magistrate visée sur l'étendue des compétences de la curatrice s'agissant des aspects financiers du litige, mais a aussi demandé la révision de cette décision. Or, entre le moment où elle a déposé sa demande de révision et celui où elle a déposé son recours pour déni de justice, à peine trois mois s'étaient écoulés. De plus, la recourante n'attaque plus l'arrêt cantonal qui a jugé que, s'agissant de l'instruction de cette demande de révision, la magistrate visée n'avait fait preuve d'aucun retard. La motivation de la recourante qui oppose à la juge intimée de tarder à statuer sur les aspects financiers de son litige tout en admettant que cette magistrate ne tarde pas à traiter de sa demande de révision portant sur la compétence de la curatrice à intervenir également sur ces aspects, apparaît donc, encore une fois, contradictoire. A cela s'ajoute qu'il ressort des faits de la cause que la magistrate visée a déployé une activité très soutenue et a rendu des décisions en matière de relations personnelles entre le père et l'enfant ou de protection de l'enfant. L'argument de la recourante selon lequel ces décisions ne concernent que les conclusions de l'intimé, et non les siennes, ne porte pas. A titre provisionnel, la recourante avait, elle aussi, pris des conclusions sur l'autorité parentale, la scolarisation de l'enfant ainsi que sur le droit de visite. Par ailleurs, même intimée à la procédure provisionnelle engagée par le père de l'enfant, la recourante avait un intérêt à ce que soient fixés les aspects personnels concernant son enfant; preuves en sont les nombreuses interventions de la recourante sur ces questions. Au vu de la situation conflictuelle existant entre les parents et du fait qu'une transaction existait sur les aspects financiers, il ne peut pas être reproché à la magistrate de s'être emparée en priorité des questions personnelles concernant l'enfant. Il suit de là que les griefs de la recourante doivent intégralement être rejetés, dans la mesure de leur recevabilité, étant précisé à cet égard que les faits prétendument omis par l'autorité cantonale n'ont aucune incidence sur la cause.</w:t>
      </w:r>
    </w:p>
    <w:p>
      <w:r>
        <w:rPr>
          <w:b/>
        </w:rPr>
        <w:t>E. 4</w:t>
      </w:r>
    </w:p>
    <w:p>
      <w:r>
        <w:t>En définitive, le recours est rejeté dans la mesure de sa recevabilité. Les frais judiciaires, arrêtés à 2'500 fr., sont mis à la charge de la recourante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