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387/2020 vom 3. Juni 2020</w:t>
      </w:r>
    </w:p>
    <w:p>
      <w:r>
        <w:t>Bundesgericht, 2020-06-03, FR</w:t>
      </w:r>
    </w:p>
    <w:p>
      <w:r>
        <w:rPr>
          <w:b/>
        </w:rPr>
        <w:t xml:space="preserve">Quelle: </w:t>
      </w:r>
      <w:r>
        <w:t>https://mcp.opencaselaw.ch/entscheid/bger_5A_387_2020</w:t>
      </w:r>
    </w:p>
    <w:p>
      <w:r>
        <w:t>FR: TF 5A 387/2020 du 3 juin 2020</w:t>
      </w:r>
    </w:p>
    <w:p>
      <w:r>
        <w:t>IT: TF 5A 387/2020 del 3 giugno 2020</w:t>
      </w:r>
    </w:p>
    <w:p>
      <w:pPr>
        <w:pStyle w:val="Heading2"/>
      </w:pPr>
      <w:r>
        <w:t>Regeste</w:t>
      </w:r>
    </w:p>
    <w:p>
      <w:r>
        <w:t>rémunération du curateur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30 avril 2020, la Chambre des curatelles du Tribunal cantonal du canton de Vaud a déclaré irrecevable - au motif que les conclusions du recours ne tendaient pas à remettre en cause le dispositif de la décision attaquée, mais l'institution en sa faveur d'une mesure de curatelle de représentation - le recours interjeté le 4 mars 2020 par A.________ à l'encontre de la décision rendue le 3 février 2020 par la Juge de paix du district de Morges allouant à Me B.________ une rémunération de 9'482 fr. 20 pour son activité de curatrice de représentation ad hoc de A.________ dans la procédure au sens de l' art. 449a CC , indemnité laissée à la charge de l'État.</w:t>
      </w:r>
    </w:p>
    <w:p>
      <w:r>
        <w:rPr>
          <w:b/>
        </w:rPr>
        <w:t>E. 2</w:t>
      </w:r>
    </w:p>
    <w:p>
      <w:r>
        <w:t>Par acte du 18 mai 2020, A.________ exerce un recours en matière civile et un recours constitutionnel subsidiaire au Tribunal fédéral, sollicitant l'octroi de l'assistance judiciaire pour la procédure fédérale.</w:t>
      </w:r>
    </w:p>
    <w:p>
      <w:r>
        <w:rPr>
          <w:b/>
        </w:rPr>
        <w:t>E. 3</w:t>
      </w:r>
    </w:p>
    <w:p>
      <w:r>
        <w:t>Eu égard à la valeur litigieuse en cause - correspondant à l'indemnité de la curatrice fixée à 9'482 fr. 20 par le premier juge -, le présent recours est traité comme un recours constitutionnel subsidiaire ( art. 113 ss LTF ). Dans son écriture, la recourante conteste que " le crime de l'avocate B.________ à [ s]es dépens soit rémunéré par les contribuables ", fait état d'un " crime judiciaire en bande organisée " à son encontre au moyen de faits " manipulés " par les juges cantonaux, et déclare que la décision d'irrecevabilité tombe à faux, dès lors que cet arrêt violerait les règles de la bonne foi et de l'interdiction de l'arbitraire. Ce faisant, la recourante ne soulève pas le moindre grief, a fortiori tendant à démontrer de manière claire et précise que le raisonnement de la décision cantonale querellée concernant l'irrecevabilité de son recours serait contraire à l'un de ses droits fondamentaux ou à la Constitution. A cet égard, la simple mention du mot " arbitraire " dans le texte ne répond pas aux exigences minimales de motivation d'un tel grief ( art. 106 al. 2 LTF ). Il s'ensuit que le recours ne satisfait pas aux exigences accrues de motivation posées par les art. 106 al. 2 et 116 LTF , par renvoi de l' art. 117 LTF . Le recours doit donc être d'emblée déclaré irrecevable selon la procédure simplifiée de l' art. 108 al. 1 let. b LTF .</w:t>
      </w:r>
    </w:p>
    <w:p>
      <w:r>
        <w:rPr>
          <w:b/>
        </w:rPr>
        <w:t>E. 4</w:t>
      </w:r>
    </w:p>
    <w:p>
      <w:r>
        <w:t>Vu l'issue prévisible du présent recours, la demande d'assistance judiciaire pour la procédure fédérale ne saurait être agréée. Les frais judiciaires, arrêtés à 500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