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5A_386/2016 vom 27. Oktober 2016</w:t>
      </w:r>
    </w:p>
    <w:p>
      <w:r>
        <w:t>Bundesgericht, 2016-10-27, DE</w:t>
      </w:r>
    </w:p>
    <w:p>
      <w:r>
        <w:rPr>
          <w:b/>
        </w:rPr>
        <w:t xml:space="preserve">Quelle: </w:t>
      </w:r>
      <w:r>
        <w:t>https://mcp.opencaselaw.ch/entscheid/bger_5A_386_2016</w:t>
      </w:r>
    </w:p>
    <w:p>
      <w:r>
        <w:t>FR: TF 5A_386/2016 du 27 octobre 2016</w:t>
      </w:r>
    </w:p>
    <w:p>
      <w:r>
        <w:t>IT: TF 5A_386/2016 del 27 ottobre 2016</w:t>
      </w:r>
    </w:p>
    <w:p>
      <w:pPr>
        <w:pStyle w:val="Heading2"/>
      </w:pPr>
      <w:r>
        <w:t>Erwägungen</w:t>
      </w:r>
    </w:p>
    <w:p>
      <w:r>
        <w:rPr>
          <w:b/>
        </w:rPr>
        <w:t>E. 1</w:t>
      </w:r>
    </w:p>
    <w:p>
      <w:r>
        <w:t>Im Urteil 5A_666/2013 vom 7. Oktober 2013 E. 1 ist das Bundesgericht auf eine Beschwerde in Zivilsachen eingetreten, welche der Beschwerdeführer wie vorliegend gegen eine auf die gleichen Bestimmungen gestützte Anordnung einer ambulanten Zwangsbehandlung ergriffen hatte.Das Bundesgericht hat aber die Frage nicht thematisiert, ob solche Entscheide überhaupt als Gegenstand des Bundeszivilrechts angesehen und beim Bundesgericht mit der Beschwerde in Zivilsachen angefochten werden können. Es rechtfertigt sich folglich, die Frage vorliegend zu prüfen.</w:t>
      </w:r>
    </w:p>
    <w:p>
      <w:r>
        <w:rPr>
          <w:b/>
        </w:rPr>
        <w:t>E. 2.1</w:t>
      </w:r>
    </w:p>
    <w:p>
      <w:r>
        <w:t>Es ist nicht von der Hand zu weisen, dass die Bestimmungen über den Kindes- und Erwachsenenschutz grundsätzlich als öffentliches Recht zu bezeichnen sind. Ebenso anerkannt ist indes, dass die entsprechenden Normen aufgrund der Zivilrechtskompetenz des Bundes erlassen wurden ( Art. 64 aBV ; Art. 122 BV ; ARNOLD MARTI, Zürcher Kommentar, 3. Aufl. 1998, N. 96 Vorbem. zu Art. 5 und 6 ZGB ); sie stehen in engem Zusammenhang mit dem Zivilrecht und dienen seiner Verwirklichung, weshalb sie auch als ergänzendes bzw. formelles Bundeszivilrecht bezeichnet werden und nach traditioneller Betrachtungsweise zur Zivilrechtsgesetzgebung gehören (CHRISTOPH LEUENBERGER, Die schweizerische Bundesverfassung, Kommentar, 3. Aufl. 2014, N. 11 zu Art. 122 BV ; vgl. auch AUBERT/MAHON, Petit Commentaire de la Constitution fédérale de la Confédération suisse, 2003, N. 5 zu Art. 122 BV ; so bereits für das Vormundschaftsrecht: Urteil 5A_582/2011 vom 3. November 2011 E. 3.2, nicht publiziert in BGE 137 III 531 ). Dem trägt das geltende Bundesgerichtsgesetz (BGG; SR 173.110) Rechnung, indem es in Art. 72Abs. 2 lit.b für öffentlich-rechtliche Entscheide, die in unmittelbarem Zusammenhang mit dem Zivilrecht stehen, insbesondere entsprechende Entscheide auf dem Gebiet des Kindes- und Erwachsenenschutzes, die Beschwerde in Zivilsachen als Rechtsmittel an das Bundesgericht vorsieht (Art. 72 Abs. 2 lit. b Ziff. 6 BGG).</w:t>
      </w:r>
    </w:p>
    <w:p>
      <w:r>
        <w:rPr>
          <w:b/>
        </w:rPr>
        <w:t>E. 2.2</w:t>
      </w:r>
    </w:p>
    <w:p>
      <w:r>
        <w:t>Zutreffend ist, dass die vorliegend strittige medizinische Nachbehandlung aufgrund der in Art. 437 Abs. 2 ZGB enthaltenen Delegationsnorm dem kantonalen Recht unterstellt ist. Der angefochtene Entscheid stützt sich denn auch auf § 67k Abs. 1 EGZGB/AG und damit auf kantonales Recht. Das ändert aber nichts daran, dass die vom Kanton ausgesprochene Massnahme der Nachbetreuung eine solche des Erwachsenenschutzes ist und der entsprechende Entscheid ein solcher auf dem Gebiete des Erwachsenenschutzes darstellt. Das ergibt sich nicht zuletzt aus dem Umstand, dass die Delegationsnorm im dritten Abschnitt ( Art. 426-439 ZGB über die fürsorgerische Unterbringung) enthalten ist. Im Übrigen spricht Art. 72 Abs. 2 lit. b BGG von öffentlich-rechtlichen Entscheiden, ohne allerdings zu präzisieren, um welches öffentliche Recht es sich handelt. In diesem Zusammenhang drängt es sich auf, den Begriff des öffentlichen Rechts im Sinn von Art. 82 lit. a BGG (Grundsatz der Beschwerde in öffentlich-rechtlichen Angelegenheiten) auszulegen, der auch das öffentliche Recht der Kantone umfasst (BERNHARD WALDMANN, Basler Kommentar, Bundesgerichtsgesetz, 2. Aufl. 2011, N. 17 zu Art. 82 BGG ).</w:t>
      </w:r>
    </w:p>
    <w:p>
      <w:r>
        <w:rPr>
          <w:b/>
        </w:rPr>
        <w:t>E. 2.3</w:t>
      </w:r>
    </w:p>
    <w:p>
      <w:r>
        <w:t>Zusammenfassend ergibt sich somit, dass der besagte Entscheid des Verwaltungsgerichts als letzter kantonaler Instanz in seiner Eigenschaft als Rechtsmittelinstanz ( Art. 75 Abs. 1 und 2 BGG ) beim Bundesgericht mit Beschwerde in Zivilsachen ( Art. 72 ff. BGG ; nachfolgend der Einfachheit halber: Beschwerde) angefochten werden kann. Diese Auffassung hat das Bundesgericht im Übrigen im Urteil 5A_341/2016 vom 3. Juni 2016 E. 1 bestätigt. Damit scheidet die subsidiäre Verfassungsbeschwerde aus ( Art. 113 BGG ).Der Beschwerdeführer erfüllt die Voraussetzungen von Art. 76 Abs. 1 BGG . Die Beschwerde ist auch rechtzeitig erfolgt ( Art. 100 Abs. 1 BGG ).</w:t>
      </w:r>
    </w:p>
    <w:p>
      <w:r>
        <w:rPr>
          <w:b/>
        </w:rPr>
        <w:t>E. 3.1</w:t>
      </w:r>
    </w:p>
    <w:p>
      <w:r>
        <w:t>Der Beschwerdeführer behauptet, das Familiengericht stütze seinen Entscheid auf Art. 446 Abs. 2 ZGB . Er zeigt indes nicht auf, inwiefern die Vorinstanz diese Bestimmung mit ihrem Entscheid verletzt haben soll (zu den Begründungsanforderungen: BGE 135 III 232 E. 1.2 S. 234; 134 II 244 E. 2.1 S. 245). Abgesehen davon ist diese Bestimmung auf das Verfahren bei der Nachbetreuung nicht anwendbar, weil es sich nicht um eine Massnahme des Bundesrechts, sondern des kantonalen Rechts handelt. Im Übrigen rügt der Beschwerdeführer keineVerfassungsbestimmung als verletzt (zu den Begründungsanforderungen betreffend Verfassungsrügen: BGE 135 III 232 E. 1.2 S. 234).Er beschränkt sich vielmehr darauf, die Sachverhaltswürdigung des Verwaltungsgerichts zu kritisieren und insbesondere die ärztlichen Gutachten als ungenügend zu bezeichnen, auf welche die Vorinstanz ihren Entscheid stützt.Damit wird freilich nicht rechtsgenügend begründet, inwiefern die Vorinstanz in Willkür verfallen sein soll (vgl. dazu BGE 133 II 249 E. 1.2.2 S. 252 und 1.4.3 S. 255 ; 135 I 19 E. 2.2.2 S. 22).</w:t>
      </w:r>
    </w:p>
    <w:p>
      <w:r>
        <w:rPr>
          <w:b/>
        </w:rPr>
        <w:t>E. 3.2</w:t>
      </w:r>
    </w:p>
    <w:p>
      <w:r>
        <w:t>Selbst wenn die Ausführungen als ausreichende Willkürrüge angesehen würden, könnte der Beschwerde kein Erfolg beschieden sein.</w:t>
      </w:r>
    </w:p>
    <w:p>
      <w:r>
        <w:rPr>
          <w:b/>
        </w:rPr>
        <w:t>E. 3.2.1</w:t>
      </w:r>
    </w:p>
    <w:p>
      <w:r>
        <w:t>Eine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3.2.2</w:t>
      </w:r>
    </w:p>
    <w:p>
      <w:r>
        <w:t>Diese Voraussetzungen sind vorliegend in keiner Weise erfüllt. Nebst der erforderlichen gesetzlichen Grundlage, die vorliegend mit Art. 437 Abs. 2 ZGB i.V.m. § 67k Abs. 1 lit. b und insbesondere § 67n EGZGB/AG gegeben ist, verlangt der Eingriff eine vollständige und umfassende Interessenabwägung. Zu berücksichtigen sind dabei die Notwendigkeit der Behandlung, die Auswirkungen einer Nichtbehandlung, die Prüfung von Alternativen sowie die Beurteilung von Selbst- und Fremdgefährdung ( BGE 130 I 16 E. 4 und 5 S. 18 ff.). In diese Interessenabwägung miteinzubeziehen sind insbesondere auch langfristige Nebenwirkungen einer zwangsweise vorgesehenen Neuroleptika-Behandlung ( BGE 130 I 16 E. 5.3 S. 21).</w:t>
      </w:r>
    </w:p>
    <w:p>
      <w:r>
        <w:rPr>
          <w:b/>
        </w:rPr>
        <w:t>E. 3.2.3</w:t>
      </w:r>
    </w:p>
    <w:p>
      <w:r>
        <w:t>Diese Interessenabwägung hat das Verwaltungsgericht vorgenommen. Es hat sich ausführlich mit den medizinischen Stellungnahmen und seinen Einwendungen gegen diese und gegen die Behandlung auseinandergesetzt. Es kam auf Grund dieser Fachgutachten und des bisherigen Krankheitsverlaufs zum Schluss, dass ein Absetzen der Therapien mit hoher Wahrscheinlichkeit zu einer Verschlechterung des Gesundheitszustandes führen würde, die beim Beschwerdeführer irreversible Schäden zur Folge haben kann. Seine Würdigungist nachvollziehbar und willkürfrei.</w:t>
      </w:r>
    </w:p>
    <w:p>
      <w:r>
        <w:rPr>
          <w:b/>
        </w:rPr>
        <w:t>E. 4</w:t>
      </w:r>
    </w:p>
    <w:p>
      <w:r>
        <w:t>Auf die Beschwerde kann somit nicht eingetreten werden. Gemäss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