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386/2010 vom 12. April 2011</w:t>
      </w:r>
    </w:p>
    <w:p>
      <w:r>
        <w:t>Bundesgericht, 2011-04-12, IT</w:t>
      </w:r>
    </w:p>
    <w:p>
      <w:r>
        <w:rPr>
          <w:b/>
        </w:rPr>
        <w:t xml:space="preserve">Quelle: </w:t>
      </w:r>
      <w:r>
        <w:t>https://mcp.opencaselaw.ch/entscheid/bger_5A_386_2010</w:t>
      </w:r>
    </w:p>
    <w:p>
      <w:r>
        <w:t>FR: TF 5A 386/2010 du 12 avril 2011</w:t>
      </w:r>
    </w:p>
    <w:p>
      <w:r>
        <w:t>IT: TF 5A 386/2010 del 12 aprile 2011</w:t>
      </w:r>
    </w:p>
    <w:p>
      <w:pPr>
        <w:pStyle w:val="Heading2"/>
      </w:pPr>
      <w:r>
        <w:t>Regeste</w:t>
      </w:r>
    </w:p>
    <w:p>
      <w:r>
        <w:t>pronuncia del fallimento | Diritto delle esecuzioni e del fallimento</w:t>
      </w:r>
    </w:p>
    <w:p>
      <w:pPr>
        <w:pStyle w:val="Heading2"/>
      </w:pPr>
      <w:r>
        <w:t>Erwägungen</w:t>
      </w:r>
    </w:p>
    <w:p>
      <w:r>
        <w:rPr>
          <w:b/>
        </w:rPr>
        <w:t>E. 4.1</w:t>
      </w:r>
    </w:p>
    <w:p>
      <w:r>
        <w:t>La ricorrente scorge una violazione dell' art. 9 Cost. nell'assenza di "una concreta e sostenibile motivazione" della sua pretesa insolvibilità, segnatamente allorquando la Corte cantonale afferma che il fatto che "gli importi dovuti sono coperti con gli attivi ed i beni della società dimostra proprio la sua mancanza di liquidità". La ricorrente rimprovera inoltre alla Corte cantonale di non avere sufficientemente motivato perché i pignoramenti e le domande di realizzazione siano più probanti che non i recenti pagamenti da lei effettuati, gli attivi ed i beni societari a garanzia dei propri debiti o la mancanza di attestati di carenza di beni.</w:t>
      </w:r>
    </w:p>
    <w:p>
      <w:r>
        <w:rPr>
          <w:b/>
        </w:rPr>
        <w:t>E. 4.2</w:t>
      </w:r>
    </w:p>
    <w:p>
      <w:r>
        <w:t>Quando lamenta una carenza di motivazione della sentenza impugnata (che in ogni modo andrebbe censurata sotto il diritto di essere sentito sancito dall' art. 29 cpv. 2 Cost. e non sotto il citato art. 9 Cost. ), la ricorrente censura in realtà una motivazione insostenibile nel merito. Tale critica si confonde in tal modo con la censura della violazione del diritto federale, ovvero dell' art. 174 cpv. 2 LEF (infra consid. 5), e non ha portata propria.</w:t>
      </w:r>
    </w:p>
    <w:p>
      <w:r>
        <w:rPr>
          <w:b/>
        </w:rPr>
        <w:t>E. 5.1</w:t>
      </w:r>
    </w:p>
    <w:p>
      <w:r>
        <w:t>La ricorrente rimprovera alla Corte cantonale di aver violato l' art. 174 cpv. 2 LEF avendo concluso per l'insolvibilità pur avendo a disposizione gli elementi che dimostravano, con verosimiglianza, il contrario. A suo dire, provano la sua solvibilità l'avvenuto pagamento delle sette esecuzioni e delle tre ulteriori saldate successivamente, il pagamento di quasi fr. 12'000.-- in soli cinque giorni ed infine il versamento degli anticipi per la sede federale. Afferma poi che le sette esecuzioni nelle quali è stata chiesta la realizzazione sono coperte dal capitale sociale interamente liberato ed anche dai beni sociali (quali l'inventario del motel) valutati tanto a valore di continuità che a valore di realizzazione, e che i beni sociali coprono pure i due pignoramenti effettuati nel 2010. Inoltre, la ricorrente rammenta che non ha attestati di carenza di beni e che le difficoltà risalgono soltanto all'agosto 2009, al momento di un'ingiustificata chiusura della sua attività durante la stagione estiva.</w:t>
      </w:r>
    </w:p>
    <w:p>
      <w:r>
        <w:rPr>
          <w:b/>
        </w:rPr>
        <w:t>E. 5.2</w:t>
      </w:r>
    </w:p>
    <w:p>
      <w:r>
        <w:t>La ricorrente non discute l'applicazione del criterio della verosimiglianza quale grado della prova (questione di diritto), ma si concentra sugli elementi di fatto presi in considerazione dalla Corte cantonale per giungere alla conclusione che tale grado non è stato raggiunto. Sapere se, in un caso concreto, il grado di verosimiglianza richiesto dal diritto federale è raggiunto rientra nell'ambito dell'apprezzamento delle prove ( DTF 130 III 321 consid. 5 con rinvii). In tale ambito, visto l'ampio potere riconosciuto alle autorità cantonali, il Tribunale federale si mostra prudente ed ammette una violazione del divieto dell'arbitrio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129 I 8 consid. 2.1). La decisione impugnata deve inoltre essere insostenibile nel suo risultato ( DTF 135 V 2 consid. 1.3). In virtù dell' art. 106 cpv. 2 LTF , incombe al ricorrente dimostrare, mediante un'argomentazione chiara e dettagliata, la realizzazione di tali condizioni (supra consid. 1.3; DTF 134 I 263 consid. 3.1). Nella fattispecie, invece, la ricorrente non dimostra che i Giudici cantonali abbiano abusato del loro potere di apprezzamento constatando che la solvibilità non è stata resa verosimile, ma si limita quasi esclusivamente a contrapporre la sua opinione a quella dell'autorità cantonale, rendendo la censura in larga misura appellatoria. Per far apparire arbitraria la sentenza impugnata non è infatti sufficiente elencare i recenti pagamenti ed affermare che le difficoltà sarebbero da ricondurre ad un periodo di breve durata, senza rendere verosimile che la mancanza di mezzi liquidi sia soltanto passeggera e che la situazione finanziaria possa effettivamente migliorare durevolmente (supra consid. 2). Per soddisfare le severe esigenze dell' art. 106 cpv. 2 LTF non basta inoltre sostenere che i beni sociali coprirebbero ampiamente le sette domande di realizzazione ed i due pignoramenti, senza indicare il valore dei beni presunti sufficienti a coprire detti importi e senza nemmeno pretendere di poter disporre, grazie a questi beni, di liquidità a breve termine. Abbondanzialmente si rileva che quando la ricorrente pretende l'arbitrio della sentenza impugnata perché la Corte cantonale afferma che il fatto che "gli importi dovuti sono coperti con gli attivi ed i beni della società dimostra proprio la sua mancanza di liquidità", essa travisa la portata del considerando: in quest'ultimo i Giudici cantonali non hanno constatato che gli attivi ed i beni della società siano sufficienti a coprire gli importi dovuti, come la ricorrente vorrebbe che si legga il suo parziale estratto, bensì hanno unicamente osservato che l'esistenza di procedure esecutive in stadi così avanzati vale indizio dell'illiquidità della società. La censura, nella minima misura in cui è ammissibile, si appalesa pertanto infondata.</w:t>
      </w:r>
    </w:p>
    <w:p>
      <w:r>
        <w:rPr>
          <w:b/>
        </w:rPr>
        <w:t>E. 6</w:t>
      </w:r>
    </w:p>
    <w:p>
      <w:r>
        <w:t>Da quanto precede discende che il ricorso, nella misura in cui è ammissibile, si rivela infondato. Le spese giudiziarie seguono la soccombenza ( art. 66 cpv. 1 LTF ), mentre non si giustifica assegnare ripetibili all'opponente, che non è stata invitata a pronunciarsi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