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5A_384/2017 vom 19. Mai 2017</w:t>
      </w:r>
    </w:p>
    <w:p>
      <w:r>
        <w:t>Bundesgericht, 2017-05-19, DE</w:t>
      </w:r>
    </w:p>
    <w:p>
      <w:r>
        <w:rPr>
          <w:b/>
        </w:rPr>
        <w:t xml:space="preserve">Quelle: </w:t>
      </w:r>
      <w:r>
        <w:t>https://mcp.opencaselaw.ch/entscheid/bger_5A_384_2017</w:t>
      </w:r>
    </w:p>
    <w:p>
      <w:r>
        <w:t>FR: TF 5A_384/2017 du 19 mai 2017</w:t>
      </w:r>
    </w:p>
    <w:p>
      <w:r>
        <w:t>IT: TF 5A_384/2017 del 19 maggio 2017</w:t>
      </w:r>
    </w:p>
    <w:p>
      <w:pPr>
        <w:pStyle w:val="Heading2"/>
      </w:pPr>
      <w:r>
        <w:t>Erwägungen</w:t>
      </w:r>
    </w:p>
    <w:p>
      <w:r>
        <w:rPr>
          <w:b/>
        </w:rPr>
        <w:t>E. 1</w:t>
      </w:r>
    </w:p>
    <w:p>
      <w:r>
        <w:t>Mit Pfändungsurkunde vom 24. August 2015 pfändete das Betreibungsamt des Kantons Basel-Stadt die künftige SUVA-Rente des Beschwerdeführers im monatlichen Betrag von Fr. 720.-- für die Dauer eines Jahres. Dagegen erhob der Beschwerdeführer am 19. Oktober 2015 und am 26. Oktober 2016 Beschwerde bei der unteren Aufsichtsbehörde über das Betreibungs- und Konkursamt. Mit Entscheid vom 20. März 2017 wies die untere Aufsichtsbehörde die Beschwerden ab, soweit sie darauf eintrat.</w:t>
      </w:r>
    </w:p>
    <w:p>
      <w:r>
        <w:t>Gegen diesen Entscheid erhob der Beschwerdeführer am 28. März 2017 Beschwerde an das Appellationsgericht des Kantons Basel-Stadt als obere Aufsichtsbehörde. Mit Entscheid vom 26. April 2017 trat das Appellationsgericht auf die Beschwerde mangels hinreichenden Antrags und mangels Begründung nicht ein.</w:t>
      </w:r>
    </w:p>
    <w:p>
      <w:r>
        <w:t>Am 17. Mai 2017 ist der Beschwerdeführer mit einer Eingabe an das Bundesgericht gelangt.</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macht geltend, er sei nicht einverstanden damit, dass ihm die Pensionskasse entzogen werde. Er müsse von etwas leben und er wolle sein Auto zurück.</w:t>
      </w:r>
    </w:p>
    <w:p>
      <w:r>
        <w:t>Mit dem Inhalt des angefochtenen Entscheides setzt sich der Beschwerdeführer nicht auseinander und er legt nicht dar, inwiefern durch diesen Entscheid Recht verletzt werden soll. 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